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4596" w:type="dxa"/>
        <w:jc w:val="center"/>
        <w:tblLayout w:type="fixed"/>
        <w:tblLook w:val="04A0" w:firstRow="1" w:lastRow="0" w:firstColumn="1" w:lastColumn="0" w:noHBand="0" w:noVBand="1"/>
      </w:tblPr>
      <w:tblGrid>
        <w:gridCol w:w="846"/>
        <w:gridCol w:w="992"/>
        <w:gridCol w:w="1134"/>
        <w:gridCol w:w="7938"/>
        <w:gridCol w:w="3686"/>
      </w:tblGrid>
      <w:tr w:rsidR="00B7452C" w:rsidRPr="002B354E" w14:paraId="7CDECF42" w14:textId="77777777" w:rsidTr="5F630951">
        <w:trPr>
          <w:jc w:val="center"/>
        </w:trPr>
        <w:tc>
          <w:tcPr>
            <w:tcW w:w="14596" w:type="dxa"/>
            <w:gridSpan w:val="5"/>
            <w:vAlign w:val="center"/>
          </w:tcPr>
          <w:p w14:paraId="448F77B5" w14:textId="77777777" w:rsidR="00531396" w:rsidRPr="002B354E" w:rsidRDefault="00A941EC" w:rsidP="00531396">
            <w:pPr>
              <w:jc w:val="center"/>
              <w:rPr>
                <w:rFonts w:cstheme="minorHAnsi"/>
                <w:b/>
                <w:sz w:val="20"/>
                <w:szCs w:val="20"/>
              </w:rPr>
            </w:pPr>
            <w:r w:rsidRPr="002B354E">
              <w:rPr>
                <w:rFonts w:cstheme="minorHAnsi"/>
                <w:b/>
                <w:sz w:val="20"/>
                <w:szCs w:val="20"/>
              </w:rPr>
              <w:t>Tabela uwag</w:t>
            </w:r>
          </w:p>
          <w:p w14:paraId="6FBFBF6B" w14:textId="001C0F25" w:rsidR="00B7452C" w:rsidRPr="002B354E" w:rsidRDefault="00A941EC" w:rsidP="00531396">
            <w:pPr>
              <w:jc w:val="center"/>
              <w:rPr>
                <w:rFonts w:cstheme="minorHAnsi"/>
                <w:b/>
                <w:sz w:val="20"/>
                <w:szCs w:val="20"/>
                <w:shd w:val="clear" w:color="auto" w:fill="FFFFFF" w:themeFill="background1"/>
              </w:rPr>
            </w:pPr>
            <w:r w:rsidRPr="002B354E">
              <w:rPr>
                <w:rFonts w:cstheme="minorHAnsi"/>
                <w:b/>
                <w:sz w:val="20"/>
                <w:szCs w:val="20"/>
              </w:rPr>
              <w:t xml:space="preserve">zgłoszonych do </w:t>
            </w:r>
            <w:r w:rsidR="00DF109E" w:rsidRPr="002B354E">
              <w:rPr>
                <w:rFonts w:cstheme="minorHAnsi"/>
                <w:b/>
                <w:sz w:val="20"/>
                <w:szCs w:val="20"/>
              </w:rPr>
              <w:t>projekt</w:t>
            </w:r>
            <w:r w:rsidR="006D6A41" w:rsidRPr="002B354E">
              <w:rPr>
                <w:rFonts w:cstheme="minorHAnsi"/>
                <w:b/>
                <w:sz w:val="20"/>
                <w:szCs w:val="20"/>
              </w:rPr>
              <w:t>u ustawy o zmianie niektórych ustaw w związku z rozwojem rejestrów publicznych prowadzonych z wykorzystaniem systemu rejestrów państwowych</w:t>
            </w:r>
            <w:r w:rsidR="00A47613" w:rsidRPr="002B354E">
              <w:rPr>
                <w:rFonts w:cstheme="minorHAnsi"/>
                <w:b/>
                <w:sz w:val="20"/>
                <w:szCs w:val="20"/>
                <w:shd w:val="clear" w:color="auto" w:fill="FFFFFF" w:themeFill="background1"/>
              </w:rPr>
              <w:t xml:space="preserve"> </w:t>
            </w:r>
            <w:r w:rsidRPr="002B354E">
              <w:rPr>
                <w:rFonts w:cstheme="minorHAnsi"/>
                <w:b/>
                <w:sz w:val="20"/>
                <w:szCs w:val="20"/>
                <w:shd w:val="clear" w:color="auto" w:fill="FFFFFF" w:themeFill="background1"/>
              </w:rPr>
              <w:t xml:space="preserve">w ramach </w:t>
            </w:r>
            <w:r w:rsidR="008900D6" w:rsidRPr="002B354E">
              <w:rPr>
                <w:rFonts w:cstheme="minorHAnsi"/>
                <w:b/>
                <w:sz w:val="20"/>
                <w:szCs w:val="20"/>
                <w:shd w:val="clear" w:color="auto" w:fill="FFFFFF" w:themeFill="background1"/>
              </w:rPr>
              <w:t>opiniowania</w:t>
            </w:r>
          </w:p>
          <w:p w14:paraId="54BD4A78" w14:textId="29A89CAE" w:rsidR="00531396" w:rsidRPr="002B354E" w:rsidRDefault="00531396" w:rsidP="00531396">
            <w:pPr>
              <w:jc w:val="center"/>
              <w:rPr>
                <w:rFonts w:cstheme="minorHAnsi"/>
                <w:b/>
                <w:sz w:val="20"/>
                <w:szCs w:val="20"/>
              </w:rPr>
            </w:pPr>
          </w:p>
        </w:tc>
      </w:tr>
      <w:tr w:rsidR="00D5337F" w:rsidRPr="002B354E" w14:paraId="770ED333" w14:textId="77777777" w:rsidTr="00943810">
        <w:trPr>
          <w:jc w:val="center"/>
        </w:trPr>
        <w:tc>
          <w:tcPr>
            <w:tcW w:w="846" w:type="dxa"/>
            <w:shd w:val="clear" w:color="auto" w:fill="E7E6E6" w:themeFill="background2"/>
            <w:vAlign w:val="center"/>
          </w:tcPr>
          <w:p w14:paraId="0AC205E0" w14:textId="77777777" w:rsidR="00D5337F" w:rsidRPr="002B354E" w:rsidRDefault="00D5337F" w:rsidP="00397129">
            <w:pPr>
              <w:rPr>
                <w:rFonts w:cstheme="minorHAnsi"/>
                <w:b/>
                <w:sz w:val="20"/>
                <w:szCs w:val="20"/>
              </w:rPr>
            </w:pPr>
            <w:r w:rsidRPr="002B354E">
              <w:rPr>
                <w:rFonts w:cstheme="minorHAnsi"/>
                <w:sz w:val="20"/>
                <w:szCs w:val="20"/>
              </w:rPr>
              <w:t>lp.</w:t>
            </w:r>
          </w:p>
        </w:tc>
        <w:tc>
          <w:tcPr>
            <w:tcW w:w="992" w:type="dxa"/>
            <w:shd w:val="clear" w:color="auto" w:fill="E7E6E6" w:themeFill="background2"/>
            <w:vAlign w:val="center"/>
          </w:tcPr>
          <w:p w14:paraId="50680F42" w14:textId="77777777" w:rsidR="00D5337F" w:rsidRPr="002B354E" w:rsidRDefault="00D5337F" w:rsidP="00397129">
            <w:pPr>
              <w:rPr>
                <w:rFonts w:cstheme="minorHAnsi"/>
                <w:b/>
                <w:sz w:val="20"/>
                <w:szCs w:val="20"/>
              </w:rPr>
            </w:pPr>
            <w:r w:rsidRPr="002B354E">
              <w:rPr>
                <w:rFonts w:cstheme="minorHAnsi"/>
                <w:b/>
                <w:sz w:val="20"/>
                <w:szCs w:val="20"/>
              </w:rPr>
              <w:t>Podmiot wnoszący uwagi</w:t>
            </w:r>
          </w:p>
        </w:tc>
        <w:tc>
          <w:tcPr>
            <w:tcW w:w="1134" w:type="dxa"/>
            <w:shd w:val="clear" w:color="auto" w:fill="E7E6E6" w:themeFill="background2"/>
            <w:vAlign w:val="center"/>
          </w:tcPr>
          <w:p w14:paraId="431E293F" w14:textId="77777777" w:rsidR="00D5337F" w:rsidRPr="002B354E" w:rsidRDefault="00D5337F" w:rsidP="00397129">
            <w:pPr>
              <w:rPr>
                <w:rFonts w:cstheme="minorHAnsi"/>
                <w:b/>
                <w:sz w:val="20"/>
                <w:szCs w:val="20"/>
              </w:rPr>
            </w:pPr>
            <w:r w:rsidRPr="002B354E">
              <w:rPr>
                <w:rFonts w:cstheme="minorHAnsi"/>
                <w:b/>
                <w:sz w:val="20"/>
                <w:szCs w:val="20"/>
              </w:rPr>
              <w:t>Jednostka redakcyjna, do której wnoszone są uwagi</w:t>
            </w:r>
          </w:p>
        </w:tc>
        <w:tc>
          <w:tcPr>
            <w:tcW w:w="7938" w:type="dxa"/>
            <w:shd w:val="clear" w:color="auto" w:fill="E7E6E6" w:themeFill="background2"/>
            <w:vAlign w:val="center"/>
          </w:tcPr>
          <w:p w14:paraId="772140A8" w14:textId="77777777" w:rsidR="00D5337F" w:rsidRPr="002B354E" w:rsidRDefault="00D5337F" w:rsidP="00397129">
            <w:pPr>
              <w:rPr>
                <w:rFonts w:cstheme="minorHAnsi"/>
                <w:b/>
                <w:sz w:val="20"/>
                <w:szCs w:val="20"/>
              </w:rPr>
            </w:pPr>
            <w:r w:rsidRPr="002B354E">
              <w:rPr>
                <w:rFonts w:cstheme="minorHAnsi"/>
                <w:b/>
                <w:sz w:val="20"/>
                <w:szCs w:val="20"/>
              </w:rPr>
              <w:t>Zgłoszone uwagi</w:t>
            </w:r>
          </w:p>
        </w:tc>
        <w:tc>
          <w:tcPr>
            <w:tcW w:w="3686" w:type="dxa"/>
            <w:shd w:val="clear" w:color="auto" w:fill="E7E6E6" w:themeFill="background2"/>
            <w:vAlign w:val="center"/>
          </w:tcPr>
          <w:p w14:paraId="51BA6704" w14:textId="77777777" w:rsidR="00D5337F" w:rsidRPr="002B354E" w:rsidRDefault="00C21C84" w:rsidP="00397129">
            <w:pPr>
              <w:rPr>
                <w:rFonts w:cstheme="minorHAnsi"/>
                <w:b/>
                <w:sz w:val="20"/>
                <w:szCs w:val="20"/>
              </w:rPr>
            </w:pPr>
            <w:r w:rsidRPr="002B354E">
              <w:rPr>
                <w:rFonts w:cstheme="minorHAnsi"/>
                <w:b/>
                <w:sz w:val="20"/>
                <w:szCs w:val="20"/>
              </w:rPr>
              <w:t>Stanowisko</w:t>
            </w:r>
          </w:p>
        </w:tc>
      </w:tr>
      <w:tr w:rsidR="006943E7" w:rsidRPr="002B354E" w14:paraId="489DCE5F" w14:textId="77777777" w:rsidTr="00943810">
        <w:trPr>
          <w:jc w:val="center"/>
        </w:trPr>
        <w:tc>
          <w:tcPr>
            <w:tcW w:w="846" w:type="dxa"/>
          </w:tcPr>
          <w:p w14:paraId="50134999" w14:textId="77777777" w:rsidR="006943E7" w:rsidRPr="002B354E" w:rsidRDefault="006943E7" w:rsidP="2A277BE4">
            <w:pPr>
              <w:pStyle w:val="Akapitzlist"/>
              <w:numPr>
                <w:ilvl w:val="0"/>
                <w:numId w:val="4"/>
              </w:numPr>
              <w:rPr>
                <w:rFonts w:asciiTheme="minorHAnsi" w:hAnsiTheme="minorHAnsi" w:cstheme="minorHAnsi"/>
                <w:sz w:val="20"/>
                <w:szCs w:val="20"/>
              </w:rPr>
            </w:pPr>
          </w:p>
        </w:tc>
        <w:tc>
          <w:tcPr>
            <w:tcW w:w="992" w:type="dxa"/>
          </w:tcPr>
          <w:p w14:paraId="0EFB5D95" w14:textId="57C8056E" w:rsidR="006943E7" w:rsidRPr="002B354E" w:rsidRDefault="008900D6" w:rsidP="2A277BE4">
            <w:pPr>
              <w:rPr>
                <w:rFonts w:cstheme="minorHAnsi"/>
                <w:sz w:val="20"/>
                <w:szCs w:val="20"/>
              </w:rPr>
            </w:pPr>
            <w:r w:rsidRPr="002B354E">
              <w:rPr>
                <w:rFonts w:cstheme="minorHAnsi"/>
                <w:sz w:val="20"/>
                <w:szCs w:val="20"/>
              </w:rPr>
              <w:t>UODO</w:t>
            </w:r>
          </w:p>
        </w:tc>
        <w:tc>
          <w:tcPr>
            <w:tcW w:w="1134" w:type="dxa"/>
          </w:tcPr>
          <w:p w14:paraId="5C41DF4A" w14:textId="1F53EE77" w:rsidR="006943E7" w:rsidRPr="002B354E" w:rsidRDefault="008900D6" w:rsidP="2A277BE4">
            <w:pPr>
              <w:rPr>
                <w:rFonts w:cstheme="minorHAnsi"/>
                <w:spacing w:val="6"/>
                <w:sz w:val="20"/>
                <w:szCs w:val="20"/>
              </w:rPr>
            </w:pPr>
            <w:r w:rsidRPr="002B354E">
              <w:rPr>
                <w:rFonts w:cstheme="minorHAnsi"/>
                <w:spacing w:val="6"/>
                <w:sz w:val="20"/>
                <w:szCs w:val="20"/>
              </w:rPr>
              <w:t>art. 5</w:t>
            </w:r>
          </w:p>
        </w:tc>
        <w:tc>
          <w:tcPr>
            <w:tcW w:w="7938" w:type="dxa"/>
          </w:tcPr>
          <w:p w14:paraId="0A1628E9" w14:textId="32286D2D" w:rsidR="008900D6" w:rsidRPr="002B354E" w:rsidRDefault="00CB0F11" w:rsidP="00784A9B">
            <w:pPr>
              <w:rPr>
                <w:rFonts w:cstheme="minorHAnsi"/>
                <w:sz w:val="20"/>
                <w:szCs w:val="20"/>
              </w:rPr>
            </w:pPr>
            <w:r w:rsidRPr="002B354E">
              <w:rPr>
                <w:rFonts w:cstheme="minorHAnsi"/>
                <w:sz w:val="20"/>
                <w:szCs w:val="20"/>
              </w:rPr>
              <w:t>Nowy model przetwarzania danych osobowych z rejestrów publicznych przez sądy i Ministra Sprawiedliwości.</w:t>
            </w:r>
          </w:p>
          <w:p w14:paraId="0E1B1959" w14:textId="77777777" w:rsidR="00531396" w:rsidRPr="002B354E" w:rsidRDefault="00531396" w:rsidP="00784A9B">
            <w:pPr>
              <w:rPr>
                <w:rFonts w:cstheme="minorHAnsi"/>
                <w:sz w:val="20"/>
                <w:szCs w:val="20"/>
              </w:rPr>
            </w:pPr>
          </w:p>
          <w:p w14:paraId="65AC14DF" w14:textId="2A1F4EB4" w:rsidR="003F1D63" w:rsidRPr="002B354E" w:rsidRDefault="00164ED6" w:rsidP="00784A9B">
            <w:pPr>
              <w:rPr>
                <w:rFonts w:cstheme="minorHAnsi"/>
                <w:sz w:val="20"/>
                <w:szCs w:val="20"/>
              </w:rPr>
            </w:pPr>
            <w:r w:rsidRPr="002B354E">
              <w:rPr>
                <w:rFonts w:cstheme="minorHAnsi"/>
                <w:sz w:val="20"/>
                <w:szCs w:val="20"/>
              </w:rPr>
              <w:t xml:space="preserve">1. Zgodnie z </w:t>
            </w:r>
            <w:r w:rsidRPr="002B354E">
              <w:rPr>
                <w:rFonts w:cstheme="minorHAnsi"/>
                <w:b/>
                <w:bCs/>
                <w:sz w:val="20"/>
                <w:szCs w:val="20"/>
              </w:rPr>
              <w:t>projektowanym art. 5 ust. 1</w:t>
            </w:r>
            <w:r w:rsidRPr="002B354E">
              <w:rPr>
                <w:rFonts w:cstheme="minorHAnsi"/>
                <w:sz w:val="20"/>
                <w:szCs w:val="20"/>
              </w:rPr>
              <w:t xml:space="preserve"> dane z rejestrów: rejestru PESEL, Rejestru Dowodów Osobistych, rejestru stanu cywilnego, rejestru danych kontaktowych osób fizycznych oraz Rejestru Dokumentów Paszportowych, do których Minister Sprawiedliwości posiada dostęp za pomocą urządzeń teletransmisji danych, na podstawie przepisów odrębnych, </w:t>
            </w:r>
            <w:r w:rsidRPr="002B354E">
              <w:rPr>
                <w:rFonts w:cstheme="minorHAnsi"/>
                <w:b/>
                <w:bCs/>
                <w:sz w:val="20"/>
                <w:szCs w:val="20"/>
              </w:rPr>
              <w:t xml:space="preserve">mogą być udostępniane sądom </w:t>
            </w:r>
            <w:r w:rsidRPr="002B354E">
              <w:rPr>
                <w:rFonts w:cstheme="minorHAnsi"/>
                <w:sz w:val="20"/>
                <w:szCs w:val="20"/>
              </w:rPr>
              <w:t xml:space="preserve">do realizacji ich zadań ustawowych </w:t>
            </w:r>
            <w:r w:rsidRPr="002B354E">
              <w:rPr>
                <w:rFonts w:cstheme="minorHAnsi"/>
                <w:b/>
                <w:bCs/>
                <w:sz w:val="20"/>
                <w:szCs w:val="20"/>
              </w:rPr>
              <w:t>z wykorzystaniem systemu teleinformatycznego, którego administratorem jest Minister Sprawiedliwości</w:t>
            </w:r>
            <w:r w:rsidRPr="002B354E">
              <w:rPr>
                <w:rFonts w:cstheme="minorHAnsi"/>
                <w:sz w:val="20"/>
                <w:szCs w:val="20"/>
              </w:rPr>
              <w:t xml:space="preserve">. W ust. 2 ww. przepisu wskazano, że uzyskanie dostępu do rejestrów publicznych w ww. trybie ma nie wymagać złożenia przez </w:t>
            </w:r>
            <w:r w:rsidR="003F1D63" w:rsidRPr="002B354E">
              <w:rPr>
                <w:rFonts w:cstheme="minorHAnsi"/>
                <w:sz w:val="20"/>
                <w:szCs w:val="20"/>
              </w:rPr>
              <w:t xml:space="preserve">sąd wniosku do ministra właściwego do spraw informatyzacji o udostępnienie danych za pomocą urządzeń teletransmisji danych. W uzasadnieniu do projektu – </w:t>
            </w:r>
            <w:r w:rsidR="003F1D63" w:rsidRPr="002B354E">
              <w:rPr>
                <w:rFonts w:cstheme="minorHAnsi"/>
                <w:b/>
                <w:bCs/>
                <w:sz w:val="20"/>
                <w:szCs w:val="20"/>
              </w:rPr>
              <w:t>niestety jednie w sposób ogólny</w:t>
            </w:r>
            <w:r w:rsidR="003F1D63" w:rsidRPr="002B354E">
              <w:rPr>
                <w:rFonts w:cstheme="minorHAnsi"/>
                <w:sz w:val="20"/>
                <w:szCs w:val="20"/>
              </w:rPr>
              <w:t xml:space="preserve"> – wskazano na </w:t>
            </w:r>
            <w:r w:rsidR="003F1D63" w:rsidRPr="002B354E">
              <w:rPr>
                <w:rFonts w:cstheme="minorHAnsi"/>
                <w:b/>
                <w:bCs/>
                <w:sz w:val="20"/>
                <w:szCs w:val="20"/>
              </w:rPr>
              <w:t>konsekwencje</w:t>
            </w:r>
            <w:r w:rsidR="003F1D63" w:rsidRPr="002B354E">
              <w:rPr>
                <w:rFonts w:cstheme="minorHAnsi"/>
                <w:sz w:val="20"/>
                <w:szCs w:val="20"/>
              </w:rPr>
              <w:t xml:space="preserve"> projektowanego rozwiązania podkreślając, że: „ponieważ liczba sądów powszechnych w skali całego kraju wynosi obecnie 377 jednostek, to dzięki wprowadzanej regulacji nie będzie potrzeby wydawania kilkuset zgód na dostęp do danych z powyższych rejestrów.”. </w:t>
            </w:r>
          </w:p>
          <w:p w14:paraId="26440A3A" w14:textId="77777777" w:rsidR="003F1D63" w:rsidRPr="002B354E" w:rsidRDefault="003F1D63" w:rsidP="00784A9B">
            <w:pPr>
              <w:rPr>
                <w:rFonts w:cstheme="minorHAnsi"/>
                <w:sz w:val="20"/>
                <w:szCs w:val="20"/>
              </w:rPr>
            </w:pPr>
            <w:r w:rsidRPr="002B354E">
              <w:rPr>
                <w:rFonts w:cstheme="minorHAnsi"/>
                <w:sz w:val="20"/>
                <w:szCs w:val="20"/>
              </w:rPr>
              <w:t>Prezes Urzędu Ochrony Danych Osobowych nie kwestionuje, że projektowane rozwiązania mają i powinny usprawnić dostęp do rejestrów publicznych dla sądów i w dużej części wiążą się z przetwarzaniem danych osobowych dla orzekania o prawach</w:t>
            </w:r>
            <w:r w:rsidRPr="002B354E">
              <w:rPr>
                <w:rFonts w:cstheme="minorHAnsi"/>
                <w:sz w:val="20"/>
                <w:szCs w:val="20"/>
                <w:vertAlign w:val="superscript"/>
              </w:rPr>
              <w:t>16</w:t>
            </w:r>
            <w:r w:rsidRPr="002B354E">
              <w:rPr>
                <w:rFonts w:cstheme="minorHAnsi"/>
                <w:sz w:val="20"/>
                <w:szCs w:val="20"/>
              </w:rPr>
              <w:t xml:space="preserve">. </w:t>
            </w:r>
          </w:p>
          <w:p w14:paraId="331F47F2" w14:textId="15A9984A" w:rsidR="006943E7" w:rsidRPr="002B354E" w:rsidRDefault="003F1D63" w:rsidP="00784A9B">
            <w:pPr>
              <w:rPr>
                <w:rFonts w:cstheme="minorHAnsi"/>
                <w:sz w:val="20"/>
                <w:szCs w:val="20"/>
              </w:rPr>
            </w:pPr>
            <w:r w:rsidRPr="002B354E">
              <w:rPr>
                <w:rFonts w:cstheme="minorHAnsi"/>
                <w:sz w:val="20"/>
                <w:szCs w:val="20"/>
              </w:rPr>
              <w:t xml:space="preserve">Niezwykle istotne jest jednak to, że rozwiązania te </w:t>
            </w:r>
            <w:r w:rsidRPr="002B354E">
              <w:rPr>
                <w:rFonts w:cstheme="minorHAnsi"/>
                <w:b/>
                <w:bCs/>
                <w:sz w:val="20"/>
                <w:szCs w:val="20"/>
              </w:rPr>
              <w:t>zasadniczo zmieniają dotychczasowy model pozyskiwania danych osobowych przez sądy</w:t>
            </w:r>
            <w:r w:rsidRPr="002B354E">
              <w:rPr>
                <w:rFonts w:cstheme="minorHAnsi"/>
                <w:sz w:val="20"/>
                <w:szCs w:val="20"/>
              </w:rPr>
              <w:t xml:space="preserve">. Dostęp do danych osobowych z rejestrów publicznych za pośrednictwem systemów teleinformatycznych w formie teletransmisji generuje bowiem wiele ryzyk, związanych w szczególności z koniecznością zachowania poufności i integralności tych danych, a także cyberbezpieczeństwa. Bezpieczeństwo to obejmuje dobra nie tylko poszczególnych osób, których dane dotyczą, systemu wymiaru sprawiedliwości, ale także bezpieczeństwa państwa. Wprowadzenie rozwiązania, zgodnie z którym </w:t>
            </w:r>
            <w:r w:rsidRPr="002B354E">
              <w:rPr>
                <w:rFonts w:cstheme="minorHAnsi"/>
                <w:b/>
                <w:bCs/>
                <w:sz w:val="20"/>
                <w:szCs w:val="20"/>
              </w:rPr>
              <w:t xml:space="preserve">wszystkie sądy w Polsce na podstawie jedynie blankietowego sformułowania w postaci „realizacji ich zadań ustawowych” mogą w bliżej niesprecyzowany i nieograniczony sposób, w formie teletransmisji pozyskiwać dane osobowe z rejestrów publicznych, wymaga głębokiej analizy i refleksji oraz wprowadzenia odpowiednich procedur uwzględniających i </w:t>
            </w:r>
            <w:r w:rsidRPr="002B354E">
              <w:rPr>
                <w:rFonts w:cstheme="minorHAnsi"/>
                <w:b/>
                <w:bCs/>
                <w:sz w:val="20"/>
                <w:szCs w:val="20"/>
              </w:rPr>
              <w:lastRenderedPageBreak/>
              <w:t>zabezpieczających możliwe ryzyka dla przetwarzania danych osobowych w projektowany sposób</w:t>
            </w:r>
            <w:r w:rsidRPr="002B354E">
              <w:rPr>
                <w:rFonts w:cstheme="minorHAnsi"/>
                <w:sz w:val="20"/>
                <w:szCs w:val="20"/>
              </w:rPr>
              <w:t>.</w:t>
            </w:r>
          </w:p>
          <w:p w14:paraId="6DA4CBD6" w14:textId="77777777" w:rsidR="003F1D63" w:rsidRPr="002B354E" w:rsidRDefault="003F1D63" w:rsidP="00784A9B">
            <w:pPr>
              <w:rPr>
                <w:rFonts w:cstheme="minorHAnsi"/>
                <w:sz w:val="20"/>
                <w:szCs w:val="20"/>
              </w:rPr>
            </w:pPr>
            <w:r w:rsidRPr="002B354E">
              <w:rPr>
                <w:rFonts w:cstheme="minorHAnsi"/>
                <w:sz w:val="20"/>
                <w:szCs w:val="20"/>
              </w:rPr>
              <w:t xml:space="preserve">Dla oceny zaproponowanych w projekcie rozwiązań duże znaczenie powinna mieć treść motywu 31 rozporządzenia 2016/679, zdanie drugie w brzmieniu: „Żądanie ujawnienia danych osobowych, z którym występują takie organy publiczne, powinno zawsze mieć formę pisemną, być uzasadnione, mieć charakter wyjątkowy, nie powinno dotyczyć całego zbioru danych ani prowadzić do połączenia zbiorów danych.”. Przetwarzając otrzymane dane osobowe, takie organy powinny przestrzegać mających zastosowanie przepisów o ochronie danych, zgodnie z celami przetwarzania. Warto wskazać również na wyrok TSUE w sprawie C-201/142 Smaranda Bara, z którego treści można wywieść, że odrębne organy w ramach administracji publicznej należy traktować jako odrębnych administratorów z własnymi przesłankami, co w konsekwencji oznacza, że organ któremu w ramach administracji przekazuje się dane osobowe jest odbiorcą. </w:t>
            </w:r>
          </w:p>
          <w:p w14:paraId="607DC1A0" w14:textId="662CCEEB" w:rsidR="003F1D63" w:rsidRPr="002B354E" w:rsidRDefault="003F1D63" w:rsidP="00784A9B">
            <w:pPr>
              <w:rPr>
                <w:rFonts w:cstheme="minorHAnsi"/>
                <w:sz w:val="20"/>
                <w:szCs w:val="20"/>
              </w:rPr>
            </w:pPr>
            <w:r w:rsidRPr="002B354E">
              <w:rPr>
                <w:rFonts w:cstheme="minorHAnsi"/>
                <w:b/>
                <w:bCs/>
                <w:sz w:val="20"/>
                <w:szCs w:val="20"/>
              </w:rPr>
              <w:t>Udostępnianie sądom w drodze teletransmisji dostępu do prowadzonych rejestrów nie znosi odpowiedzialności administratorów zgromadzonych w nich danych osobowych za legalność, celowość i proporcjonalność przetwarzania danych osobowych</w:t>
            </w:r>
            <w:r w:rsidRPr="002B354E">
              <w:rPr>
                <w:rFonts w:cstheme="minorHAnsi"/>
                <w:sz w:val="20"/>
                <w:szCs w:val="20"/>
              </w:rPr>
              <w:t xml:space="preserve">. Projektodawca bez uzasadnienia takiego rozwiązania </w:t>
            </w:r>
            <w:r w:rsidRPr="002B354E">
              <w:rPr>
                <w:rFonts w:cstheme="minorHAnsi"/>
                <w:b/>
                <w:bCs/>
                <w:sz w:val="20"/>
                <w:szCs w:val="20"/>
              </w:rPr>
              <w:t>likwiduje również konieczność złożenia przez sądy wniosku do ministra właściwego do spraw informatyzacji o udostępnienie danych z rejestrów publicznych za pomocą urządzeń teletransmisji danych</w:t>
            </w:r>
            <w:r w:rsidRPr="002B354E">
              <w:rPr>
                <w:rFonts w:cstheme="minorHAnsi"/>
                <w:sz w:val="20"/>
                <w:szCs w:val="20"/>
              </w:rPr>
              <w:t xml:space="preserve">, która to procedura co najmniej ograniczała do tej pory, choć nie wyłączała całkowicie ryzyka związanego z przetwarzaniem danych w taki sposób. W istocie więc projektowane rozwiązanie wprowadza </w:t>
            </w:r>
            <w:r w:rsidRPr="002B354E">
              <w:rPr>
                <w:rFonts w:cstheme="minorHAnsi"/>
                <w:b/>
                <w:bCs/>
                <w:sz w:val="20"/>
                <w:szCs w:val="20"/>
              </w:rPr>
              <w:t>pozyskiwanie danych osobowych poza trybami przewidzianymi w przepisach poszczególnych ustaw</w:t>
            </w:r>
            <w:r w:rsidRPr="002B354E">
              <w:rPr>
                <w:rFonts w:cstheme="minorHAnsi"/>
                <w:sz w:val="20"/>
                <w:szCs w:val="20"/>
              </w:rPr>
              <w:t xml:space="preserve"> za pośrednictwem Ministerstwa Sprawiedliwości, z pominięciem ustawowych gwarancji</w:t>
            </w:r>
            <w:r w:rsidRPr="002B354E">
              <w:rPr>
                <w:rFonts w:cstheme="minorHAnsi"/>
                <w:sz w:val="20"/>
                <w:szCs w:val="20"/>
                <w:vertAlign w:val="superscript"/>
              </w:rPr>
              <w:t>18</w:t>
            </w:r>
            <w:r w:rsidRPr="002B354E">
              <w:rPr>
                <w:rFonts w:cstheme="minorHAnsi"/>
                <w:sz w:val="20"/>
                <w:szCs w:val="20"/>
              </w:rPr>
              <w:t xml:space="preserve">, które tryby te przewidują. </w:t>
            </w:r>
          </w:p>
          <w:p w14:paraId="772709DD" w14:textId="77777777" w:rsidR="003F1D63" w:rsidRPr="002B354E" w:rsidRDefault="003F1D63" w:rsidP="00784A9B">
            <w:pPr>
              <w:rPr>
                <w:rFonts w:cstheme="minorHAnsi"/>
                <w:sz w:val="20"/>
                <w:szCs w:val="20"/>
              </w:rPr>
            </w:pPr>
          </w:p>
          <w:p w14:paraId="41976841" w14:textId="77777777" w:rsidR="003F1D63" w:rsidRPr="002B354E" w:rsidRDefault="003F1D63" w:rsidP="00784A9B">
            <w:pPr>
              <w:rPr>
                <w:rFonts w:cstheme="minorHAnsi"/>
                <w:sz w:val="20"/>
                <w:szCs w:val="20"/>
              </w:rPr>
            </w:pPr>
            <w:r w:rsidRPr="002B354E">
              <w:rPr>
                <w:rFonts w:cstheme="minorHAnsi"/>
                <w:sz w:val="20"/>
                <w:szCs w:val="20"/>
              </w:rPr>
              <w:t xml:space="preserve">2. Jako mocno kontrowersyjne ocenić należy rozwiązanie, zgodnie z którym dane pozyskane z rejestrów </w:t>
            </w:r>
            <w:r w:rsidRPr="002B354E">
              <w:rPr>
                <w:rFonts w:cstheme="minorHAnsi"/>
                <w:b/>
                <w:bCs/>
                <w:sz w:val="20"/>
                <w:szCs w:val="20"/>
              </w:rPr>
              <w:t>nie będą przekazywane bezpośrednio sądom, lecz będą przetwarzane przez system teleinformatyczny, którego administratorem ma być rządowy organ administracji publicznej (Minister Sprawiedliwości).</w:t>
            </w:r>
            <w:r w:rsidRPr="002B354E">
              <w:rPr>
                <w:rFonts w:cstheme="minorHAnsi"/>
                <w:sz w:val="20"/>
                <w:szCs w:val="20"/>
              </w:rPr>
              <w:t xml:space="preserve"> W istocie więc poprzez rozwiązanie pozornie mające charakter jedynie techniczny oraz </w:t>
            </w:r>
            <w:r w:rsidRPr="002B354E">
              <w:rPr>
                <w:rFonts w:cstheme="minorHAnsi"/>
                <w:b/>
                <w:bCs/>
                <w:sz w:val="20"/>
                <w:szCs w:val="20"/>
              </w:rPr>
              <w:t>bez wskazania w przepisach prawa jaki cel realizowany jest w ten sposób przez ministra</w:t>
            </w:r>
            <w:r w:rsidRPr="002B354E">
              <w:rPr>
                <w:rFonts w:cstheme="minorHAnsi"/>
                <w:sz w:val="20"/>
                <w:szCs w:val="20"/>
              </w:rPr>
              <w:t xml:space="preserve">, prawodawca stwarza możliwość, aby organ administracji publicznej (władza wykonawcza) mógł decydować o celach i sposobach przetwarzania danych osobowych pozyskiwanych dla celów realizowanych przez sądy (władza sądownicza). Dane te będą bowiem przetwarzane w systemie teleinformatycznym prowadzonym przez Ministra Sprawiedliwości, w którym organ ten będzie pełnił rolę administratora w rozumieniu przepisów rozporządzenia 2016/679. </w:t>
            </w:r>
          </w:p>
          <w:p w14:paraId="33E0719D" w14:textId="665C5140" w:rsidR="003F1D63" w:rsidRPr="002B354E" w:rsidRDefault="003F1D63" w:rsidP="00784A9B">
            <w:pPr>
              <w:rPr>
                <w:rFonts w:cstheme="minorHAnsi"/>
                <w:sz w:val="20"/>
                <w:szCs w:val="20"/>
              </w:rPr>
            </w:pPr>
            <w:r w:rsidRPr="002B354E">
              <w:rPr>
                <w:rFonts w:cstheme="minorHAnsi"/>
                <w:sz w:val="20"/>
                <w:szCs w:val="20"/>
              </w:rPr>
              <w:t>W związku z przekazywaniem z rejestrów publicznych sądom danych osobowych za pośrednictwem systemu teleinformatycznego, którego administratorem jest Minister Sprawiedliwości należy mieć na uwadze szereg ryzyk. Jednym z nich są zmiany celów przetwarzania tych danych. Zmiany takie – zgodnie z art. 6 ust. 4 rozporządzenia 2016/679</w:t>
            </w:r>
            <w:r w:rsidRPr="002B354E">
              <w:rPr>
                <w:rFonts w:cstheme="minorHAnsi"/>
                <w:sz w:val="20"/>
                <w:szCs w:val="20"/>
                <w:vertAlign w:val="superscript"/>
              </w:rPr>
              <w:t>19</w:t>
            </w:r>
            <w:r w:rsidRPr="002B354E">
              <w:rPr>
                <w:rFonts w:cstheme="minorHAnsi"/>
                <w:sz w:val="20"/>
                <w:szCs w:val="20"/>
              </w:rPr>
              <w:t xml:space="preserve"> – </w:t>
            </w:r>
            <w:r w:rsidRPr="002B354E">
              <w:rPr>
                <w:rFonts w:cstheme="minorHAnsi"/>
                <w:sz w:val="20"/>
                <w:szCs w:val="20"/>
              </w:rPr>
              <w:lastRenderedPageBreak/>
              <w:t>mogą zachodzić jedynie na podstawie prawa państwa członkowskiego stanowiącego w demokratycznym społeczeństwie niezbędny i proporcjonalny środek służący zagwarantowaniu jedynie celów, o których mowa w art. 23 ust. 1 rozporządzenia 2016/679</w:t>
            </w:r>
            <w:r w:rsidRPr="002B354E">
              <w:rPr>
                <w:rFonts w:cstheme="minorHAnsi"/>
                <w:sz w:val="20"/>
                <w:szCs w:val="20"/>
                <w:vertAlign w:val="superscript"/>
              </w:rPr>
              <w:t>20</w:t>
            </w:r>
            <w:r w:rsidRPr="002B354E">
              <w:rPr>
                <w:rFonts w:cstheme="minorHAnsi"/>
                <w:sz w:val="20"/>
                <w:szCs w:val="20"/>
              </w:rPr>
              <w:t xml:space="preserve"> oraz powinny być wprowadzone z uwzględnieniem zasad i warunków z tego przepisu wynikających. Rozwiązanie to budzi również wątpliwości w świetle zasady praworządności wynikającej z art. 7 Konstytucji Rzeczypospolitej Polskiej. </w:t>
            </w:r>
          </w:p>
          <w:p w14:paraId="226819D6" w14:textId="5E470A38" w:rsidR="003F1D63" w:rsidRPr="002B354E" w:rsidRDefault="003F1D63" w:rsidP="00784A9B">
            <w:pPr>
              <w:rPr>
                <w:rFonts w:cstheme="minorHAnsi"/>
                <w:sz w:val="20"/>
                <w:szCs w:val="20"/>
              </w:rPr>
            </w:pPr>
            <w:r w:rsidRPr="002B354E">
              <w:rPr>
                <w:rFonts w:cstheme="minorHAnsi"/>
                <w:sz w:val="20"/>
                <w:szCs w:val="20"/>
              </w:rPr>
              <w:t xml:space="preserve">Tymczasem </w:t>
            </w:r>
            <w:r w:rsidRPr="002B354E">
              <w:rPr>
                <w:rFonts w:cstheme="minorHAnsi"/>
                <w:b/>
                <w:bCs/>
                <w:sz w:val="20"/>
                <w:szCs w:val="20"/>
              </w:rPr>
              <w:t>projektodawca nie określa w tworzonych przepisach w jakich celach i w jakim zakresie Minister Sprawiedliwości będzie przetwarzał dane pozyskane z rejestrów publicznych w administrowanym systemie teleinformatycznym</w:t>
            </w:r>
            <w:r w:rsidRPr="002B354E">
              <w:rPr>
                <w:rFonts w:cstheme="minorHAnsi"/>
                <w:sz w:val="20"/>
                <w:szCs w:val="20"/>
              </w:rPr>
              <w:t xml:space="preserve">. W przepisach </w:t>
            </w:r>
            <w:r w:rsidRPr="002B354E">
              <w:rPr>
                <w:rFonts w:cstheme="minorHAnsi"/>
                <w:b/>
                <w:bCs/>
                <w:sz w:val="20"/>
                <w:szCs w:val="20"/>
              </w:rPr>
              <w:t>brak jest nie tylko jakichkolwiek rozwiązań określających sposoby przetwarzania</w:t>
            </w:r>
            <w:r w:rsidRPr="002B354E">
              <w:rPr>
                <w:rFonts w:cstheme="minorHAnsi"/>
                <w:sz w:val="20"/>
                <w:szCs w:val="20"/>
              </w:rPr>
              <w:t xml:space="preserve">, a także niezbędne kryteria zapewnienia bezpieczeństwa danych osobowych w tym systemie, co pozostaje w sprzeczności z zasadą integralności i poufności (art. 5 ust. 1 lit. f) i rozliczalności (art. 5 ust. 2 rozporządzenia 2016/679), ale również </w:t>
            </w:r>
            <w:r w:rsidRPr="002B354E">
              <w:rPr>
                <w:rFonts w:cstheme="minorHAnsi"/>
                <w:b/>
                <w:bCs/>
                <w:sz w:val="20"/>
                <w:szCs w:val="20"/>
              </w:rPr>
              <w:t>brak jest jakiegokolwiek zastrzeżenia, co do celu działań Ministra Sprawiedliwości, to jest jego roli w procesach przetwarzania danych, które są niezbędne sądom dla orzekania o prawach</w:t>
            </w:r>
            <w:r w:rsidRPr="002B354E">
              <w:rPr>
                <w:rFonts w:cstheme="minorHAnsi"/>
                <w:sz w:val="20"/>
                <w:szCs w:val="20"/>
              </w:rPr>
              <w:t>. Tak istotne rozwiązanie, jak dopuszczenie Ministra Sprawiedliwości do tak szerokiego dostępu do danych i swoistego „pośrednictwa” w pozyskiwaniu danych niezbędnych sądom dla orzekania o prawach i obowiązkach, nie znajduje uzasadnienia w lakonicznym stwierdzeniu, że: „ponieważ liczba sądów powszechnych w skali całego kraju wynosi obecnie 377 jednostek, to dzięki wprowadzanej regulacji nie będzie potrzeby wydawania kilkuset zgód na dostęp do danych z powyższych rejestrów.”</w:t>
            </w:r>
            <w:r w:rsidR="009865A3" w:rsidRPr="002B354E">
              <w:rPr>
                <w:rFonts w:cstheme="minorHAnsi"/>
                <w:sz w:val="20"/>
                <w:szCs w:val="20"/>
              </w:rPr>
              <w:t>.</w:t>
            </w:r>
          </w:p>
          <w:p w14:paraId="46E0AC8E" w14:textId="3A361B4E" w:rsidR="009865A3" w:rsidRPr="002B354E" w:rsidRDefault="009865A3" w:rsidP="00784A9B">
            <w:pPr>
              <w:rPr>
                <w:rFonts w:cstheme="minorHAnsi"/>
                <w:sz w:val="20"/>
                <w:szCs w:val="20"/>
              </w:rPr>
            </w:pPr>
            <w:r w:rsidRPr="002B354E">
              <w:rPr>
                <w:rFonts w:cstheme="minorHAnsi"/>
                <w:sz w:val="20"/>
                <w:szCs w:val="20"/>
              </w:rPr>
              <w:t xml:space="preserve">Z projektu tego </w:t>
            </w:r>
            <w:r w:rsidRPr="002B354E">
              <w:rPr>
                <w:rFonts w:cstheme="minorHAnsi"/>
                <w:b/>
                <w:bCs/>
                <w:sz w:val="20"/>
                <w:szCs w:val="20"/>
              </w:rPr>
              <w:t>nie wynika również jednoznaczne ograniczenie co do tego czy potencjalnie inne organy oprócz Ministra Sprawiedliwości, a jeżeli tak to w jakich celach, miałyby dostęp</w:t>
            </w:r>
            <w:r w:rsidRPr="002B354E">
              <w:rPr>
                <w:rFonts w:cstheme="minorHAnsi"/>
                <w:sz w:val="20"/>
                <w:szCs w:val="20"/>
              </w:rPr>
              <w:t xml:space="preserve"> do wskazanego w art. 5 projektu systemu teleinformatycznego, a tym samym do danych osobowych. Wbrew zasadzie ograniczenia przechowania (art. 5 ust. 1 lit. e rozporządzenia 2016/679) w przepisach </w:t>
            </w:r>
            <w:r w:rsidRPr="002B354E">
              <w:rPr>
                <w:rFonts w:cstheme="minorHAnsi"/>
                <w:b/>
                <w:bCs/>
                <w:sz w:val="20"/>
                <w:szCs w:val="20"/>
              </w:rPr>
              <w:t>nie określono też okresu usuwania danych osobowych z tego systemu</w:t>
            </w:r>
            <w:r w:rsidRPr="002B354E">
              <w:rPr>
                <w:rFonts w:cstheme="minorHAnsi"/>
                <w:sz w:val="20"/>
                <w:szCs w:val="20"/>
              </w:rPr>
              <w:t>.</w:t>
            </w:r>
          </w:p>
          <w:p w14:paraId="631F357F" w14:textId="2F9D8662" w:rsidR="009865A3" w:rsidRPr="002B354E" w:rsidRDefault="009865A3" w:rsidP="00784A9B">
            <w:pPr>
              <w:rPr>
                <w:rFonts w:cstheme="minorHAnsi"/>
                <w:sz w:val="20"/>
                <w:szCs w:val="20"/>
              </w:rPr>
            </w:pPr>
            <w:r w:rsidRPr="002B354E">
              <w:rPr>
                <w:rFonts w:cstheme="minorHAnsi"/>
                <w:sz w:val="20"/>
                <w:szCs w:val="20"/>
              </w:rPr>
              <w:t xml:space="preserve">W obecnym kształcie </w:t>
            </w:r>
            <w:r w:rsidRPr="002B354E">
              <w:rPr>
                <w:rFonts w:cstheme="minorHAnsi"/>
                <w:b/>
                <w:bCs/>
                <w:sz w:val="20"/>
                <w:szCs w:val="20"/>
              </w:rPr>
              <w:t>projektowany art. 5</w:t>
            </w:r>
            <w:r w:rsidRPr="002B354E">
              <w:rPr>
                <w:rFonts w:cstheme="minorHAnsi"/>
                <w:sz w:val="20"/>
                <w:szCs w:val="20"/>
              </w:rPr>
              <w:t xml:space="preserve"> uznać należy jako </w:t>
            </w:r>
            <w:r w:rsidRPr="002B354E">
              <w:rPr>
                <w:rFonts w:cstheme="minorHAnsi"/>
                <w:b/>
                <w:bCs/>
                <w:sz w:val="20"/>
                <w:szCs w:val="20"/>
              </w:rPr>
              <w:t>niezgodny z zasadami dotyczącymi przetwarzania danych osobowych</w:t>
            </w:r>
            <w:r w:rsidRPr="002B354E">
              <w:rPr>
                <w:rFonts w:cstheme="minorHAnsi"/>
                <w:sz w:val="20"/>
                <w:szCs w:val="20"/>
              </w:rPr>
              <w:t>: zgodności z prawem, rzetelności i przejrzystości (art. 5 ust. 1 lit. a), ograniczenia celu (art. 5 ust. 1 lit. b), minimalizacji danych (art. 5 ust. 1 lit. c), integralności i poufności (art. 5 ust. 1 lit. f), ograniczenia przechowania oraz rozliczalności (art. 5 ust. 2 rozporządzenia 2016/679). Przepis ten wymaga modyfikacji uwzględniającej wyżej wskazane zastrzeżenia, w tym co do spełnienia warunków określonych w art. 23 rozporządzenia 2016/679.</w:t>
            </w:r>
          </w:p>
          <w:p w14:paraId="2EDF322A" w14:textId="3448ACF0" w:rsidR="009865A3" w:rsidRPr="002B354E" w:rsidRDefault="009865A3" w:rsidP="00784A9B">
            <w:pPr>
              <w:rPr>
                <w:rFonts w:cstheme="minorHAnsi"/>
                <w:sz w:val="20"/>
                <w:szCs w:val="20"/>
              </w:rPr>
            </w:pPr>
            <w:r w:rsidRPr="002B354E">
              <w:rPr>
                <w:rFonts w:cstheme="minorHAnsi"/>
                <w:sz w:val="20"/>
                <w:szCs w:val="20"/>
              </w:rPr>
              <w:t xml:space="preserve">A zatem – celem uniknięcia ryzyka łączenia zbiorów danych lub też przekazywania danych niezgodnie z celami oraz innych zagrożeń dla tych danych, w tym dla doprecyzowania rzeczywistej roli Ministra Sprawiedliwości dla realizacji </w:t>
            </w:r>
            <w:r w:rsidRPr="002B354E">
              <w:rPr>
                <w:rFonts w:cstheme="minorHAnsi"/>
                <w:i/>
                <w:iCs/>
                <w:sz w:val="20"/>
                <w:szCs w:val="20"/>
              </w:rPr>
              <w:t>ratio legis</w:t>
            </w:r>
            <w:r w:rsidRPr="002B354E">
              <w:rPr>
                <w:rFonts w:cstheme="minorHAnsi"/>
                <w:sz w:val="20"/>
                <w:szCs w:val="20"/>
              </w:rPr>
              <w:t xml:space="preserve"> projektowanych przepisów – projektodawca powinien rozważyć wprowadzenie rozwiązań, które służyć będą zakładanemu celowi, tj. przyczynią się do usprawnienia procesów przetwarzania danych przez sądy w ramach ich działalności orzeczniczej, ale jednocześnie ograniczą wyżej wskazane ryzyka </w:t>
            </w:r>
            <w:r w:rsidRPr="002B354E">
              <w:rPr>
                <w:rFonts w:cstheme="minorHAnsi"/>
                <w:sz w:val="20"/>
                <w:szCs w:val="20"/>
              </w:rPr>
              <w:lastRenderedPageBreak/>
              <w:t>związane z tym przetwarzaniem, a także zapewnią administratorom tych rejestrów realną kontrolę nad tym procesami przetwarzania wynikającymi z ich statusu.</w:t>
            </w:r>
          </w:p>
          <w:p w14:paraId="1E2150B4" w14:textId="74CADD74" w:rsidR="009865A3" w:rsidRPr="002B354E" w:rsidRDefault="009865A3" w:rsidP="00784A9B">
            <w:pPr>
              <w:rPr>
                <w:rFonts w:cstheme="minorHAnsi"/>
                <w:sz w:val="20"/>
                <w:szCs w:val="20"/>
              </w:rPr>
            </w:pPr>
            <w:r w:rsidRPr="002B354E">
              <w:rPr>
                <w:rFonts w:cstheme="minorHAnsi"/>
                <w:sz w:val="20"/>
                <w:szCs w:val="20"/>
              </w:rPr>
              <w:t>Prezes Urzędu Ochrony Danych Osobowych zwracał już uwagę w swoich opiniach legislacyjnych</w:t>
            </w:r>
            <w:r w:rsidRPr="002B354E">
              <w:rPr>
                <w:rFonts w:cstheme="minorHAnsi"/>
                <w:sz w:val="20"/>
                <w:szCs w:val="20"/>
                <w:vertAlign w:val="superscript"/>
              </w:rPr>
              <w:t>22</w:t>
            </w:r>
            <w:r w:rsidRPr="002B354E">
              <w:rPr>
                <w:rFonts w:cstheme="minorHAnsi"/>
                <w:sz w:val="20"/>
                <w:szCs w:val="20"/>
              </w:rPr>
              <w:t xml:space="preserve"> na aspekt przetwarzania danych osobowych przez sądy w trybie teletransmisji pod kątem stworzenia dodatkowych gwarancji normatywnych w związku z koniecznością realizacji zasady rozliczalności przez administratora udostępniającego dane. Stanowisko organu nadzorczego co do tworzenia prawidłowych rozwiązań w zakresie przetwarzania przez sądy danych osobowych w systemach teleinformatycznych zostało również przedstawiane w ramach opiniowania projektu informatycznego „Cyfrowy Sąd” w trakcie prac Komitetu Rady Ministrów do spraw Cyfryzacji</w:t>
            </w:r>
            <w:r w:rsidRPr="002B354E">
              <w:rPr>
                <w:rFonts w:cstheme="minorHAnsi"/>
                <w:sz w:val="20"/>
                <w:szCs w:val="20"/>
                <w:vertAlign w:val="superscript"/>
              </w:rPr>
              <w:t>23</w:t>
            </w:r>
            <w:r w:rsidRPr="002B354E">
              <w:rPr>
                <w:rFonts w:cstheme="minorHAnsi"/>
                <w:sz w:val="20"/>
                <w:szCs w:val="20"/>
              </w:rPr>
              <w:t>.</w:t>
            </w:r>
          </w:p>
          <w:p w14:paraId="0F9C3665" w14:textId="77777777" w:rsidR="003F1D63" w:rsidRPr="002B354E" w:rsidRDefault="003F1D63" w:rsidP="00784A9B">
            <w:pPr>
              <w:rPr>
                <w:rFonts w:cstheme="minorHAnsi"/>
                <w:sz w:val="20"/>
                <w:szCs w:val="20"/>
              </w:rPr>
            </w:pPr>
          </w:p>
          <w:p w14:paraId="3ADF663A" w14:textId="5C6A8239" w:rsidR="003F1D63" w:rsidRPr="002B354E" w:rsidRDefault="003F1D63" w:rsidP="00784A9B">
            <w:pPr>
              <w:rPr>
                <w:rFonts w:cstheme="minorHAnsi"/>
                <w:sz w:val="20"/>
                <w:szCs w:val="20"/>
              </w:rPr>
            </w:pPr>
            <w:r w:rsidRPr="002B354E">
              <w:rPr>
                <w:rFonts w:cstheme="minorHAnsi"/>
                <w:sz w:val="20"/>
                <w:szCs w:val="20"/>
                <w:vertAlign w:val="superscript"/>
              </w:rPr>
              <w:t>16</w:t>
            </w:r>
            <w:r w:rsidRPr="002B354E">
              <w:rPr>
                <w:rFonts w:cstheme="minorHAnsi"/>
                <w:sz w:val="20"/>
                <w:szCs w:val="20"/>
              </w:rPr>
              <w:t xml:space="preserve"> </w:t>
            </w:r>
            <w:r w:rsidR="009865A3" w:rsidRPr="002B354E">
              <w:rPr>
                <w:rFonts w:cstheme="minorHAnsi"/>
                <w:sz w:val="20"/>
                <w:szCs w:val="20"/>
              </w:rPr>
              <w:t>Zgodnie z motywem 20 rozporządzenia 2016/679 „Niniejsze rozporządzenie ma zastosowanie między innymi do działań sądów i innych organów wymiaru sprawiedliwości, niemniej prawo Unii lub prawo państwa członkowskiego może doprecyzować operacje i procedury przetwarzania danych osobowych przez sądy i inne organy wymiaru sprawiedliwości. Właściwość organów nadzorczych nie powinna dotyczyć przetwarzania danych osobowych przez sądy w ramach sprawowania wymiaru sprawiedliwości - tak by chronić niezawisłość sprawowania wymiaru sprawiedliwości. Powinna istnieć możliwość powierzenia nadzoru nad takimi operacjami przetwarzania danych specjalnym organom w systemie wymiaru sprawiedliwości państwa członkowskiego, organy te powinny w szczególności zapewnić przestrzeganie przepisów niniejszego rozporządzenia, zwiększać w wymiarze sprawiedliwości wiedzę o jego obowiązkach wynikających z niniejszego rozporządzenia oraz rozpatrywać skargi związane z takim operacjami przetwarzania danych.”.</w:t>
            </w:r>
          </w:p>
          <w:p w14:paraId="2D236E47" w14:textId="20FF3000" w:rsidR="003F1D63" w:rsidRPr="002B354E" w:rsidRDefault="003F1D63" w:rsidP="00784A9B">
            <w:pPr>
              <w:rPr>
                <w:rFonts w:cstheme="minorHAnsi"/>
                <w:sz w:val="20"/>
                <w:szCs w:val="20"/>
              </w:rPr>
            </w:pPr>
            <w:r w:rsidRPr="002B354E">
              <w:rPr>
                <w:rFonts w:cstheme="minorHAnsi"/>
                <w:sz w:val="20"/>
                <w:szCs w:val="20"/>
                <w:vertAlign w:val="superscript"/>
              </w:rPr>
              <w:t>18</w:t>
            </w:r>
            <w:r w:rsidRPr="002B354E">
              <w:rPr>
                <w:rFonts w:cstheme="minorHAnsi"/>
                <w:sz w:val="20"/>
                <w:szCs w:val="20"/>
              </w:rPr>
              <w:t xml:space="preserve"> </w:t>
            </w:r>
            <w:r w:rsidR="009865A3" w:rsidRPr="002B354E">
              <w:rPr>
                <w:rFonts w:cstheme="minorHAnsi"/>
                <w:sz w:val="20"/>
                <w:szCs w:val="20"/>
              </w:rPr>
              <w:t>Wskazane gwarancje zakładają, weryfikację czy podmiot, który ma korzystać z trybu teletransmisji posiada: urządzenia lub systemy teleinformatyczne umożliwiające identyfikację osoby uzyskującej dane z rejestru, zakres oraz datę ich uzyskania; zabezpieczenia techniczne i organizacyjne właściwe dla przetwarzania danych osobowych, w szczególności uniemożliwiające dostęp osób nieuprawnionych do przetwarzania danych osobowych i wykorzystanie danych niezgodnie z celem ich uzyskania; a uzyskanie danych drogą teletransmisji jest uzasadnione specyfiką lub zakresem wykonywanych zadań albo prowadzonej działalności.</w:t>
            </w:r>
          </w:p>
          <w:p w14:paraId="213724C5" w14:textId="0716BB64" w:rsidR="003F1D63" w:rsidRPr="002B354E" w:rsidRDefault="003F1D63" w:rsidP="00784A9B">
            <w:pPr>
              <w:rPr>
                <w:rFonts w:cstheme="minorHAnsi"/>
                <w:sz w:val="20"/>
                <w:szCs w:val="20"/>
              </w:rPr>
            </w:pPr>
            <w:r w:rsidRPr="002B354E">
              <w:rPr>
                <w:rFonts w:cstheme="minorHAnsi"/>
                <w:sz w:val="20"/>
                <w:szCs w:val="20"/>
                <w:vertAlign w:val="superscript"/>
              </w:rPr>
              <w:t>19</w:t>
            </w:r>
            <w:r w:rsidRPr="002B354E">
              <w:rPr>
                <w:rFonts w:cstheme="minorHAnsi"/>
                <w:sz w:val="20"/>
                <w:szCs w:val="20"/>
              </w:rPr>
              <w:t xml:space="preserve"> </w:t>
            </w:r>
            <w:r w:rsidR="009865A3" w:rsidRPr="002B354E">
              <w:rPr>
                <w:rFonts w:cstheme="minorHAnsi"/>
                <w:sz w:val="20"/>
                <w:szCs w:val="20"/>
              </w:rPr>
              <w:t xml:space="preserve">Zgodnie z art.. 6 ust. 4 rozporządzenia 2016/679 jeżeli przetwarzanie w celu innym niż cel, w którym dane osobowe zostały zebrane, nie odbywa się na podstawie zgody osoby, której dane dotyczą, ani prawa Unii lub prawa państwa członkowskiego stanowiących w demokratycznym społeczeństwie niezbędny i proporcjonalny środek służący zagwarantowaniu celów, o których mowa w art. 23 ust. 1, administrator - aby ustalić, czy przetwarzanie w innym celu jest zgodne z celem, w którym dane osobowe zostały pierwotnie zebrane - bierze pod uwagę między innymi: a) wszelkie związki między celami, w których zebrano dane osobowe, a celami zamierzonego dalszego przetwarzania; b) kontekst, w którym zebrano dane osobowe, w szczególności relację między osobami, których dane dotyczą, a administratorem; c) charakter </w:t>
            </w:r>
            <w:r w:rsidR="009865A3" w:rsidRPr="002B354E">
              <w:rPr>
                <w:rFonts w:cstheme="minorHAnsi"/>
                <w:sz w:val="20"/>
                <w:szCs w:val="20"/>
              </w:rPr>
              <w:lastRenderedPageBreak/>
              <w:t>danych osobowych, w szczególności czy przetwarzane są szczególne kategorie danych osobowych zgodnie z art. 9 lub dane osobowe dotyczące wyroków skazujących i czynów zabronionych zgodnie z art. 10; d) ewentualne konsekwencje zamierzonego dalszego przetwarzania dla osób, których dane dotyczą; e) istnienie odpowiednich zabezpieczeń, w tym ewentualnie szyfrowania lub pseudonimizacji.</w:t>
            </w:r>
          </w:p>
          <w:p w14:paraId="0B7AEAF6" w14:textId="620ED744" w:rsidR="003F1D63" w:rsidRPr="002B354E" w:rsidRDefault="003F1D63" w:rsidP="00784A9B">
            <w:pPr>
              <w:rPr>
                <w:rFonts w:cstheme="minorHAnsi"/>
                <w:sz w:val="20"/>
                <w:szCs w:val="20"/>
              </w:rPr>
            </w:pPr>
            <w:r w:rsidRPr="002B354E">
              <w:rPr>
                <w:rFonts w:cstheme="minorHAnsi"/>
                <w:sz w:val="20"/>
                <w:szCs w:val="20"/>
                <w:vertAlign w:val="superscript"/>
              </w:rPr>
              <w:t>20</w:t>
            </w:r>
            <w:r w:rsidRPr="002B354E">
              <w:rPr>
                <w:rFonts w:cstheme="minorHAnsi"/>
                <w:sz w:val="20"/>
                <w:szCs w:val="20"/>
              </w:rPr>
              <w:t xml:space="preserve"> </w:t>
            </w:r>
            <w:r w:rsidR="009865A3" w:rsidRPr="002B354E">
              <w:rPr>
                <w:rFonts w:cstheme="minorHAnsi"/>
                <w:sz w:val="20"/>
                <w:szCs w:val="20"/>
              </w:rPr>
              <w:t>Zgodnie z art 23 ust. 1 rozporządzenia 2016/679 Prawo Unii lub prawo państwa członkowskiego, któremu podlegają administrator danych lub podmiot przetwarzający, może aktem prawnym ograniczyć zakres obowiązków i praw przewidzianych w art. 12-22 i w art. 34, a także w art. 5 - o ile jego przepisy odpowiadają prawom i obowiązkom przewidzianym w art. 12-22 - jeżeli ograniczenie takie nie narusza istoty podstawowych praw i wolności oraz jest w demokratycznym społeczeństwie środkiem niezbędnym i proporcjonalnym, służącym: a) bezpieczeństwu narodowemu; b) obronie; c) bezpieczeństwu publicznemu; d) zapobieganiu przestępczości, prowadzeniu postępowań przygotowawczych, wykrywaniu lub ściganiu czynów zabronionych lub wykonywaniu kar, w tym ochronie przed zagrożeniami dla bezpieczeństwa publicznego i zapobieganiu takim zagrożeniom; e) innym ważnym celom leżącym w ogólnym interesie publicznym Unii lub państwa członkowskiego, w szczególności ważnemu interesowi gospodarczemu lub finansowemu Unii lub państwa członkowskiego, w tym kwestiom pieniężnym, budżetowym i podatkowym, zdrowiu publicznemu i zabezpieczeniu społecznemu; f) ochronie niezależności sądów i postępowania sądowego; g) zapobieganiu naruszeniom zasad etyki w zawodach regulowanych, prowadzeniu postępowań w takich sprawach, ich wykrywaniu oraz ściganiu; h) funkcjom kontrolnym, inspekcyjnym lub regulacyjnym związanym, nawet sporadycznie, ze sprawowaniem władzy publicznej w przypadkach, o których mowa w lit. a) - e) oraz g); i) ochronie osoby, której dane dotyczą, lub praw i wolności innych osób; j) egzekucji roszczeń cywilnoprawnych.</w:t>
            </w:r>
          </w:p>
          <w:p w14:paraId="17F6184E" w14:textId="00EE7AAD" w:rsidR="009865A3" w:rsidRPr="002B354E" w:rsidRDefault="009865A3" w:rsidP="00784A9B">
            <w:pPr>
              <w:rPr>
                <w:rFonts w:cstheme="minorHAnsi"/>
                <w:sz w:val="20"/>
                <w:szCs w:val="20"/>
              </w:rPr>
            </w:pPr>
            <w:r w:rsidRPr="002B354E">
              <w:rPr>
                <w:rFonts w:cstheme="minorHAnsi"/>
                <w:sz w:val="20"/>
                <w:szCs w:val="20"/>
                <w:vertAlign w:val="superscript"/>
              </w:rPr>
              <w:t>22</w:t>
            </w:r>
            <w:r w:rsidRPr="002B354E">
              <w:rPr>
                <w:rFonts w:cstheme="minorHAnsi"/>
                <w:sz w:val="20"/>
                <w:szCs w:val="20"/>
              </w:rPr>
              <w:t xml:space="preserve"> Zob. Stanowiska Prezesa Urzędu Ochrony Danych do rządowego projektu ustawy o zmianie ustawy – Kodeks cywilny oraz niektórych innych ustaw (druk senacki nr 1009, druki sejmowe nr 2977, 3028 i 3028-A), Pisma: z 13 stycznia 2022 r.; 22 kwietnia 2022 r.; 11 maja 2022 r.; 21 czerwca 2022 r.; 6 lipca 2026 r. (DOL.401.605.2021.WL.OJ).</w:t>
            </w:r>
          </w:p>
          <w:p w14:paraId="662002A1" w14:textId="7925A199" w:rsidR="009865A3" w:rsidRPr="002B354E" w:rsidRDefault="009865A3" w:rsidP="00784A9B">
            <w:pPr>
              <w:rPr>
                <w:rFonts w:cstheme="minorHAnsi"/>
                <w:sz w:val="20"/>
                <w:szCs w:val="20"/>
              </w:rPr>
            </w:pPr>
            <w:r w:rsidRPr="002B354E">
              <w:rPr>
                <w:rFonts w:cstheme="minorHAnsi"/>
                <w:sz w:val="20"/>
                <w:szCs w:val="20"/>
                <w:vertAlign w:val="superscript"/>
              </w:rPr>
              <w:t>23</w:t>
            </w:r>
            <w:r w:rsidRPr="002B354E">
              <w:rPr>
                <w:rFonts w:cstheme="minorHAnsi"/>
                <w:sz w:val="20"/>
                <w:szCs w:val="20"/>
              </w:rPr>
              <w:t xml:space="preserve"> Zob. Pismo Prezesa Urzędu Ochrony Danych Osobowych z 25 marca 2025 r. dotyczące opisu założeń projektu informatycznego „Cyfrowy Sąd” (DPNT.060.28.2025.WL.OJ).</w:t>
            </w:r>
          </w:p>
        </w:tc>
        <w:tc>
          <w:tcPr>
            <w:tcW w:w="3686" w:type="dxa"/>
          </w:tcPr>
          <w:p w14:paraId="2F264A12" w14:textId="3EAC174E" w:rsidR="0038399E" w:rsidRPr="002B354E" w:rsidRDefault="0038399E" w:rsidP="00DF109E">
            <w:pPr>
              <w:rPr>
                <w:rFonts w:cstheme="minorHAnsi"/>
                <w:b/>
                <w:bCs/>
                <w:sz w:val="20"/>
                <w:szCs w:val="20"/>
              </w:rPr>
            </w:pPr>
            <w:r w:rsidRPr="002B354E">
              <w:rPr>
                <w:rFonts w:cstheme="minorHAnsi"/>
                <w:b/>
                <w:bCs/>
                <w:sz w:val="20"/>
                <w:szCs w:val="20"/>
              </w:rPr>
              <w:lastRenderedPageBreak/>
              <w:t>Uwaga uwzględniona</w:t>
            </w:r>
          </w:p>
          <w:p w14:paraId="7511D824" w14:textId="4F3C0A5F" w:rsidR="00D44A4F" w:rsidRPr="002B354E" w:rsidRDefault="001B5D57" w:rsidP="00943810">
            <w:pPr>
              <w:rPr>
                <w:rFonts w:cstheme="minorHAnsi"/>
                <w:sz w:val="20"/>
                <w:szCs w:val="20"/>
              </w:rPr>
            </w:pPr>
            <w:r w:rsidRPr="002B354E">
              <w:rPr>
                <w:rFonts w:cstheme="minorHAnsi"/>
                <w:sz w:val="20"/>
                <w:szCs w:val="20"/>
              </w:rPr>
              <w:t>W związku z istotnymi wątpliwościami zgłoszonymi przez Prezesa Urzędu Ochrony Danych Osobowych</w:t>
            </w:r>
            <w:r w:rsidR="006215E2" w:rsidRPr="002B354E">
              <w:rPr>
                <w:rFonts w:cstheme="minorHAnsi"/>
                <w:sz w:val="20"/>
                <w:szCs w:val="20"/>
              </w:rPr>
              <w:t>,</w:t>
            </w:r>
            <w:r w:rsidRPr="002B354E">
              <w:rPr>
                <w:rFonts w:cstheme="minorHAnsi"/>
                <w:sz w:val="20"/>
                <w:szCs w:val="20"/>
              </w:rPr>
              <w:t xml:space="preserve"> p</w:t>
            </w:r>
            <w:r w:rsidR="002B0F18" w:rsidRPr="002B354E">
              <w:rPr>
                <w:rFonts w:cstheme="minorHAnsi"/>
                <w:sz w:val="20"/>
                <w:szCs w:val="20"/>
              </w:rPr>
              <w:t>rojektodawca zdecydował o usunięciu tego przepisu z projektu</w:t>
            </w:r>
            <w:r w:rsidRPr="002B354E">
              <w:rPr>
                <w:rFonts w:cstheme="minorHAnsi"/>
                <w:sz w:val="20"/>
                <w:szCs w:val="20"/>
              </w:rPr>
              <w:t xml:space="preserve"> i zaprzestaniu dalszych prac w tym zakresie. Proces pozyskiwania przez sądy dostępu do danych z </w:t>
            </w:r>
            <w:r w:rsidRPr="002B354E">
              <w:rPr>
                <w:rFonts w:cstheme="minorHAnsi"/>
                <w:spacing w:val="6"/>
                <w:sz w:val="20"/>
                <w:szCs w:val="20"/>
              </w:rPr>
              <w:t>rejestru PESEL, Rejestru Dowodów Osobistych, rejestru stanu cywilnego, rejestru danych kontaktowych osób fizycznych oraz Rejestru Dokumentów Paszportowych nie zostanie zmodyfikowany. Każdy sąd będzie zatem musiał skierować do ministra właściwego do spraw informatyzacji oddzielny wniosek o</w:t>
            </w:r>
            <w:r w:rsidR="00784A9B" w:rsidRPr="002B354E">
              <w:rPr>
                <w:rFonts w:cstheme="minorHAnsi"/>
                <w:spacing w:val="6"/>
                <w:sz w:val="20"/>
                <w:szCs w:val="20"/>
              </w:rPr>
              <w:t> </w:t>
            </w:r>
            <w:r w:rsidRPr="002B354E">
              <w:rPr>
                <w:rFonts w:cstheme="minorHAnsi"/>
                <w:spacing w:val="6"/>
                <w:sz w:val="20"/>
                <w:szCs w:val="20"/>
              </w:rPr>
              <w:t>udostępnienie danych za pomocą urządzeń teletransmisji do realizacji zadań ustawowych.</w:t>
            </w:r>
          </w:p>
        </w:tc>
      </w:tr>
      <w:tr w:rsidR="008900D6" w:rsidRPr="002B354E" w14:paraId="419FA33F" w14:textId="77777777" w:rsidTr="00943810">
        <w:trPr>
          <w:jc w:val="center"/>
        </w:trPr>
        <w:tc>
          <w:tcPr>
            <w:tcW w:w="846" w:type="dxa"/>
          </w:tcPr>
          <w:p w14:paraId="4BA06ADE" w14:textId="77777777" w:rsidR="008900D6" w:rsidRPr="002B354E" w:rsidRDefault="008900D6" w:rsidP="2A277BE4">
            <w:pPr>
              <w:pStyle w:val="Akapitzlist"/>
              <w:numPr>
                <w:ilvl w:val="0"/>
                <w:numId w:val="4"/>
              </w:numPr>
              <w:rPr>
                <w:rFonts w:asciiTheme="minorHAnsi" w:hAnsiTheme="minorHAnsi" w:cstheme="minorHAnsi"/>
                <w:sz w:val="20"/>
                <w:szCs w:val="20"/>
              </w:rPr>
            </w:pPr>
          </w:p>
        </w:tc>
        <w:tc>
          <w:tcPr>
            <w:tcW w:w="992" w:type="dxa"/>
          </w:tcPr>
          <w:p w14:paraId="6430959F" w14:textId="29C846CA" w:rsidR="008900D6" w:rsidRPr="002B354E" w:rsidRDefault="008900D6" w:rsidP="2A277BE4">
            <w:pPr>
              <w:rPr>
                <w:rFonts w:cstheme="minorHAnsi"/>
                <w:sz w:val="20"/>
                <w:szCs w:val="20"/>
              </w:rPr>
            </w:pPr>
            <w:r w:rsidRPr="002B354E">
              <w:rPr>
                <w:rFonts w:cstheme="minorHAnsi"/>
                <w:sz w:val="20"/>
                <w:szCs w:val="20"/>
              </w:rPr>
              <w:t>UODO</w:t>
            </w:r>
          </w:p>
        </w:tc>
        <w:tc>
          <w:tcPr>
            <w:tcW w:w="1134" w:type="dxa"/>
          </w:tcPr>
          <w:p w14:paraId="36E8DFD6" w14:textId="2586B757" w:rsidR="008900D6" w:rsidRPr="002B354E" w:rsidRDefault="008900D6" w:rsidP="2A277BE4">
            <w:pPr>
              <w:rPr>
                <w:rFonts w:cstheme="minorHAnsi"/>
                <w:spacing w:val="6"/>
                <w:sz w:val="20"/>
                <w:szCs w:val="20"/>
              </w:rPr>
            </w:pPr>
            <w:r w:rsidRPr="002B354E">
              <w:rPr>
                <w:rFonts w:cstheme="minorHAnsi"/>
                <w:spacing w:val="6"/>
                <w:sz w:val="20"/>
                <w:szCs w:val="20"/>
              </w:rPr>
              <w:t>Uwaga ogólna</w:t>
            </w:r>
          </w:p>
        </w:tc>
        <w:tc>
          <w:tcPr>
            <w:tcW w:w="7938" w:type="dxa"/>
          </w:tcPr>
          <w:p w14:paraId="2398E75F" w14:textId="77777777" w:rsidR="008900D6" w:rsidRPr="002B354E" w:rsidRDefault="008900D6" w:rsidP="00784A9B">
            <w:pPr>
              <w:rPr>
                <w:rFonts w:cstheme="minorHAnsi"/>
                <w:sz w:val="20"/>
                <w:szCs w:val="20"/>
              </w:rPr>
            </w:pPr>
            <w:r w:rsidRPr="002B354E">
              <w:rPr>
                <w:rFonts w:cstheme="minorHAnsi"/>
                <w:sz w:val="20"/>
                <w:szCs w:val="20"/>
              </w:rPr>
              <w:t>Jak wskazano w uzasadnieniu do projektu, „celem projektowanej ustawy jest wprowadzenie podstaw prawnych dla funkcjonowania rozwiązań usprawniających oraz rozwijających funkcjonowanie rejestru PESEL, rejestru stanu cywilnego oraz Rejestru Dokumentów Paszportowych.”. By zrealizować wskazany cel projektodawca wprowadza zmiany w ustawie z dnia 25 lutego 1964 r. – Kodeks rodzinny i opiekuńczy, ustawie z dnia 24 września 2010 r. o ewidencji ludności, w ustawie z dnia 27 stycznia 2022 r. o dokumentach paszportowych, w ustawie z dnia 28 listopada 2014 r. – Prawo o aktach stanu cywilnego oraz w art. 5 projektu określa procedurę udostepnienia sądom szeregu danych osobowych przetwarzanych w rejestrach publicznych.</w:t>
            </w:r>
          </w:p>
          <w:p w14:paraId="2504CB71" w14:textId="77777777" w:rsidR="008900D6" w:rsidRPr="002B354E" w:rsidRDefault="008900D6" w:rsidP="00784A9B">
            <w:pPr>
              <w:rPr>
                <w:rFonts w:cstheme="minorHAnsi"/>
                <w:sz w:val="20"/>
                <w:szCs w:val="20"/>
              </w:rPr>
            </w:pPr>
            <w:r w:rsidRPr="002B354E">
              <w:rPr>
                <w:rFonts w:cstheme="minorHAnsi"/>
                <w:sz w:val="20"/>
                <w:szCs w:val="20"/>
              </w:rPr>
              <w:lastRenderedPageBreak/>
              <w:t xml:space="preserve">Nowelizując wskazane akty prawne i art. 5 projektu ustawodawca zawarł w projekcie propozycje przepisów: </w:t>
            </w:r>
          </w:p>
          <w:p w14:paraId="6E30E012" w14:textId="49392AB4" w:rsidR="008900D6" w:rsidRPr="002B354E" w:rsidRDefault="008900D6" w:rsidP="00784A9B">
            <w:pPr>
              <w:rPr>
                <w:rFonts w:cstheme="minorHAnsi"/>
                <w:sz w:val="20"/>
                <w:szCs w:val="20"/>
              </w:rPr>
            </w:pPr>
            <w:r w:rsidRPr="002B354E">
              <w:rPr>
                <w:rFonts w:cstheme="minorHAnsi"/>
                <w:sz w:val="20"/>
                <w:szCs w:val="20"/>
              </w:rPr>
              <w:t>1) wprowadzających podstawy prawne dla wdrożenia nowej usługi administracji publicznej, realizowanej z wykorzystaniem usługi elektronicznej dostępnej po uwierzytelnieniu użytkownika, pozwalającej rozwiedzionemu małżonkowi, który wskutek zawarcia małżeństwa zmienił swoje dotychczasowe nazwisko, na złożenie kierownikowi urzędu stanu cywilnego oświadczenia o powrocie do nazwiska, które osoba ta nosiła przed zawarciem małżeństwa;</w:t>
            </w:r>
          </w:p>
          <w:p w14:paraId="7A937C99" w14:textId="312811B6" w:rsidR="008900D6" w:rsidRPr="002B354E" w:rsidRDefault="008900D6" w:rsidP="00784A9B">
            <w:pPr>
              <w:rPr>
                <w:rFonts w:cstheme="minorHAnsi"/>
                <w:sz w:val="20"/>
                <w:szCs w:val="20"/>
              </w:rPr>
            </w:pPr>
            <w:r w:rsidRPr="002B354E">
              <w:rPr>
                <w:rFonts w:cstheme="minorHAnsi"/>
                <w:sz w:val="20"/>
                <w:szCs w:val="20"/>
              </w:rPr>
              <w:t>2) wprowadzających podstawę prawną do ograniczenia nadawania numeru PESEL cudzoziemcom, którzy jako podstawę prawną do nadania numeru PESEL wskazali konieczność potwierdzenia profilu zaufanego;</w:t>
            </w:r>
          </w:p>
          <w:p w14:paraId="7236F4E6" w14:textId="77777777" w:rsidR="008900D6" w:rsidRPr="002B354E" w:rsidRDefault="008900D6" w:rsidP="00784A9B">
            <w:pPr>
              <w:rPr>
                <w:rFonts w:cstheme="minorHAnsi"/>
                <w:sz w:val="20"/>
                <w:szCs w:val="20"/>
              </w:rPr>
            </w:pPr>
            <w:r w:rsidRPr="002B354E">
              <w:rPr>
                <w:rFonts w:cstheme="minorHAnsi"/>
                <w:sz w:val="20"/>
                <w:szCs w:val="20"/>
              </w:rPr>
              <w:t xml:space="preserve">3) wprowadzających odmiejscowienie wymeldowania; wymeldowanie będzie mogło zostać odnotowane przez organ dowolnej gminy, a nie tak jak obecnie przez organ gminy właściwy dla dotychczasowego miejsca pobytu; </w:t>
            </w:r>
          </w:p>
          <w:p w14:paraId="4E370305" w14:textId="77777777" w:rsidR="008900D6" w:rsidRPr="002B354E" w:rsidRDefault="008900D6" w:rsidP="00784A9B">
            <w:pPr>
              <w:rPr>
                <w:rFonts w:cstheme="minorHAnsi"/>
                <w:sz w:val="20"/>
                <w:szCs w:val="20"/>
              </w:rPr>
            </w:pPr>
            <w:r w:rsidRPr="002B354E">
              <w:rPr>
                <w:rFonts w:cstheme="minorHAnsi"/>
                <w:sz w:val="20"/>
                <w:szCs w:val="20"/>
              </w:rPr>
              <w:t>4) umożliwiających rejestrację danych parentyzacyjnych także przez urzędników referatów ewidencji ludności i dowodów osobistych, którzy będą mogli rejestrować powiązania parentyzacyjne przy okazji obsługi innych spraw i zdarzeń dotyczących osoby;</w:t>
            </w:r>
          </w:p>
          <w:p w14:paraId="7F95D660" w14:textId="77777777" w:rsidR="008900D6" w:rsidRPr="002B354E" w:rsidRDefault="008900D6" w:rsidP="00784A9B">
            <w:pPr>
              <w:rPr>
                <w:rFonts w:cstheme="minorHAnsi"/>
                <w:sz w:val="20"/>
                <w:szCs w:val="20"/>
              </w:rPr>
            </w:pPr>
            <w:r w:rsidRPr="002B354E">
              <w:rPr>
                <w:rFonts w:cstheme="minorHAnsi"/>
                <w:sz w:val="20"/>
                <w:szCs w:val="20"/>
              </w:rPr>
              <w:t xml:space="preserve">5) wprowadzających obowiązek gromadzenia w rejestrze PESEL informacji o rodzaju dokumentu podróży lub dokumentu potwierdzającego tożsamość i obywatelstwo cudzoziemca; </w:t>
            </w:r>
          </w:p>
          <w:p w14:paraId="7AF8C6C4" w14:textId="693C302E" w:rsidR="008900D6" w:rsidRPr="002B354E" w:rsidRDefault="008900D6" w:rsidP="00784A9B">
            <w:pPr>
              <w:rPr>
                <w:rFonts w:cstheme="minorHAnsi"/>
                <w:sz w:val="20"/>
                <w:szCs w:val="20"/>
              </w:rPr>
            </w:pPr>
            <w:r w:rsidRPr="002B354E">
              <w:rPr>
                <w:rFonts w:cstheme="minorHAnsi"/>
                <w:sz w:val="20"/>
                <w:szCs w:val="20"/>
              </w:rPr>
              <w:t>6) umożliwienie sądom korzystania z dostępu do danych z rejestru PESEL, Rejestru Dokumentów Paszportowych, Rejestru Dowodów Osobistych, rejestru stanu cywilnego (w tym pobierania odpisów skróconych aktów stanu cywilnego za pomocą usług sieciowych) oraz rejestru danych kontaktowych osób fizycznych na podstawie zgód wydanych na podstawie odrębnych przepisów Ministrowi Sprawiedliwości bez konieczności odrębnego wnioskowania przez każdy sąd o dostęp do ww. rejestrów, co jak wskazano w Ocenie Skutków Regulacji projektu ma przyspieszyć proces informatyzacji wymiaru sprawiedliwości przez zapewnienie dostępu do rejestrów z wykorzystaniem systemu Ministra Sprawiedliwości.</w:t>
            </w:r>
          </w:p>
          <w:p w14:paraId="2CB74859" w14:textId="77777777" w:rsidR="008900D6" w:rsidRPr="002B354E" w:rsidRDefault="008900D6" w:rsidP="00784A9B">
            <w:pPr>
              <w:rPr>
                <w:rFonts w:cstheme="minorHAnsi"/>
                <w:sz w:val="20"/>
                <w:szCs w:val="20"/>
              </w:rPr>
            </w:pPr>
            <w:r w:rsidRPr="002B354E">
              <w:rPr>
                <w:rFonts w:cstheme="minorHAnsi"/>
                <w:b/>
                <w:bCs/>
                <w:sz w:val="20"/>
                <w:szCs w:val="20"/>
              </w:rPr>
              <w:t>Zmiana przepisów jest znacząca. Projektowane przepisy w ogromnym zakresie zmieniają sposób przetwarzania danych osobowych w rejestrach publicznych.</w:t>
            </w:r>
            <w:r w:rsidRPr="002B354E">
              <w:rPr>
                <w:rFonts w:cstheme="minorHAnsi"/>
                <w:sz w:val="20"/>
                <w:szCs w:val="20"/>
              </w:rPr>
              <w:t xml:space="preserve"> Na konieczność stanowienia odpowiednich rozwiązań mających zapewnić bezpieczeństwo i zgodność przetwarzanych danych osobowych w rejestrach publicznych organ nadzorczy zwracał uwagę w wystąpieniu z 29 października 2025 r. dotyczącym konieczności </w:t>
            </w:r>
            <w:r w:rsidRPr="002B354E">
              <w:rPr>
                <w:rFonts w:cstheme="minorHAnsi"/>
                <w:b/>
                <w:bCs/>
                <w:sz w:val="20"/>
                <w:szCs w:val="20"/>
              </w:rPr>
              <w:t>przeglądu przepisów prawa regulujących przetwarzanie danych osobowych w rejestrach publicznych</w:t>
            </w:r>
            <w:r w:rsidRPr="002B354E">
              <w:rPr>
                <w:rFonts w:cstheme="minorHAnsi"/>
                <w:sz w:val="20"/>
                <w:szCs w:val="20"/>
              </w:rPr>
              <w:t xml:space="preserve"> skierowanym do Ministra Cyfryzacji</w:t>
            </w:r>
            <w:r w:rsidRPr="002B354E">
              <w:rPr>
                <w:rFonts w:cstheme="minorHAnsi"/>
                <w:sz w:val="20"/>
                <w:szCs w:val="20"/>
                <w:vertAlign w:val="superscript"/>
              </w:rPr>
              <w:t>8</w:t>
            </w:r>
            <w:r w:rsidRPr="002B354E">
              <w:rPr>
                <w:rFonts w:cstheme="minorHAnsi"/>
                <w:sz w:val="20"/>
                <w:szCs w:val="20"/>
              </w:rPr>
              <w:t xml:space="preserve">. Istotne jest zatem, aby projektodawca ponownie przeanalizował projektowane rozwiązania, wziąwszy jednak pod uwagę przedstawione w ww. wystąpieniu zagadnienia, szczególnie w kontekście </w:t>
            </w:r>
            <w:r w:rsidRPr="002B354E">
              <w:rPr>
                <w:rFonts w:cstheme="minorHAnsi"/>
                <w:b/>
                <w:bCs/>
                <w:sz w:val="20"/>
                <w:szCs w:val="20"/>
              </w:rPr>
              <w:t>projektowanej procedury pozyskiwania przez sądy z rejestrów publicznych danych osobowych przy wykorzystaniu „systemu teleinformatycznego Ministra Sprawiedliwości”</w:t>
            </w:r>
            <w:r w:rsidRPr="002B354E">
              <w:rPr>
                <w:rFonts w:cstheme="minorHAnsi"/>
                <w:sz w:val="20"/>
                <w:szCs w:val="20"/>
              </w:rPr>
              <w:t xml:space="preserve">. Powyższe zagadnienie projektodawca powinien rozważyć w szczególności pod kątem wskazanych w wystąpieniu ryzyk </w:t>
            </w:r>
            <w:r w:rsidRPr="002B354E">
              <w:rPr>
                <w:rFonts w:cstheme="minorHAnsi"/>
                <w:b/>
                <w:bCs/>
                <w:sz w:val="20"/>
                <w:szCs w:val="20"/>
              </w:rPr>
              <w:t>łączenia baz danych</w:t>
            </w:r>
            <w:r w:rsidRPr="002B354E">
              <w:rPr>
                <w:rFonts w:cstheme="minorHAnsi"/>
                <w:sz w:val="20"/>
                <w:szCs w:val="20"/>
              </w:rPr>
              <w:t xml:space="preserve">, a także </w:t>
            </w:r>
            <w:r w:rsidRPr="002B354E">
              <w:rPr>
                <w:rFonts w:cstheme="minorHAnsi"/>
                <w:sz w:val="20"/>
                <w:szCs w:val="20"/>
              </w:rPr>
              <w:lastRenderedPageBreak/>
              <w:t xml:space="preserve">sprzecznych z przepisami rozporządzenia 2016/679 </w:t>
            </w:r>
            <w:r w:rsidRPr="002B354E">
              <w:rPr>
                <w:rFonts w:cstheme="minorHAnsi"/>
                <w:b/>
                <w:bCs/>
                <w:sz w:val="20"/>
                <w:szCs w:val="20"/>
              </w:rPr>
              <w:t>zmian celów przetwarzania danych osobowych, które pierwotnie były pozyskiwane do rejestrów publicznych</w:t>
            </w:r>
            <w:r w:rsidRPr="002B354E">
              <w:rPr>
                <w:rFonts w:cstheme="minorHAnsi"/>
                <w:sz w:val="20"/>
                <w:szCs w:val="20"/>
              </w:rPr>
              <w:t xml:space="preserve"> w innych celach.</w:t>
            </w:r>
          </w:p>
          <w:p w14:paraId="77FAA1DB" w14:textId="77777777" w:rsidR="008900D6" w:rsidRPr="002B354E" w:rsidRDefault="008900D6" w:rsidP="00784A9B">
            <w:pPr>
              <w:rPr>
                <w:rFonts w:cstheme="minorHAnsi"/>
                <w:sz w:val="20"/>
                <w:szCs w:val="20"/>
              </w:rPr>
            </w:pPr>
          </w:p>
          <w:p w14:paraId="1EDFDDE0" w14:textId="0943A9C8" w:rsidR="008900D6" w:rsidRPr="002B354E" w:rsidRDefault="008900D6" w:rsidP="00784A9B">
            <w:pPr>
              <w:rPr>
                <w:rFonts w:cstheme="minorHAnsi"/>
                <w:sz w:val="20"/>
                <w:szCs w:val="20"/>
              </w:rPr>
            </w:pPr>
            <w:r w:rsidRPr="002B354E">
              <w:rPr>
                <w:rFonts w:cstheme="minorHAnsi"/>
                <w:sz w:val="20"/>
                <w:szCs w:val="20"/>
                <w:vertAlign w:val="superscript"/>
              </w:rPr>
              <w:t>8</w:t>
            </w:r>
            <w:r w:rsidRPr="002B354E">
              <w:rPr>
                <w:rFonts w:cstheme="minorHAnsi"/>
                <w:sz w:val="20"/>
                <w:szCs w:val="20"/>
              </w:rPr>
              <w:t xml:space="preserve"> Wystąpienie Prezesa Urzędu Ochrony Danych Osobowych na podstawie art. 52 ust. 2 ustawy z dnia 10 maja 2018 r. o ochronie danych osobowych z 29 października 2025 r. (sygn.) DOL.413.11.2024.WL.OJ skierowane do Pana Krzysztof Gawkowskiego Wiceprezesa Rady Ministrów, Ministra Cyfryzacji dotyczące przeglądu przepisów prawa regulujących przetwarzanie danych osobowych w rejestrach publicznych, dalej: Wystąpienie dotyczące przeglądu przepisów prawa regulujących przetwarzanie danych osobowych w rejestrach publicznych z 29 października 2025 r., zob. https://uodo.gov.pl/pl/138/3968.</w:t>
            </w:r>
          </w:p>
        </w:tc>
        <w:tc>
          <w:tcPr>
            <w:tcW w:w="3686" w:type="dxa"/>
          </w:tcPr>
          <w:p w14:paraId="17B98FAC" w14:textId="0486EA85" w:rsidR="0038399E" w:rsidRPr="002B354E" w:rsidRDefault="0038399E" w:rsidP="00DF109E">
            <w:pPr>
              <w:rPr>
                <w:rFonts w:cstheme="minorHAnsi"/>
                <w:b/>
                <w:bCs/>
                <w:sz w:val="20"/>
                <w:szCs w:val="20"/>
              </w:rPr>
            </w:pPr>
            <w:r w:rsidRPr="002B354E">
              <w:rPr>
                <w:rFonts w:cstheme="minorHAnsi"/>
                <w:b/>
                <w:bCs/>
                <w:sz w:val="20"/>
                <w:szCs w:val="20"/>
              </w:rPr>
              <w:lastRenderedPageBreak/>
              <w:t>Uwaga uwzględniona</w:t>
            </w:r>
          </w:p>
          <w:p w14:paraId="0D4F98A5" w14:textId="7051E576" w:rsidR="002B0F18" w:rsidRPr="002B354E" w:rsidRDefault="005033D4" w:rsidP="00943810">
            <w:pPr>
              <w:rPr>
                <w:rFonts w:cstheme="minorHAnsi"/>
                <w:sz w:val="20"/>
                <w:szCs w:val="20"/>
              </w:rPr>
            </w:pPr>
            <w:r w:rsidRPr="002B354E">
              <w:rPr>
                <w:rFonts w:cstheme="minorHAnsi"/>
                <w:sz w:val="20"/>
                <w:szCs w:val="20"/>
              </w:rPr>
              <w:t>W związku z istotnymi wątpliwościami zgłoszonymi przez Prezesa Urzędu Ochrony Danych Osobowych</w:t>
            </w:r>
            <w:r w:rsidR="006215E2" w:rsidRPr="002B354E">
              <w:rPr>
                <w:rFonts w:cstheme="minorHAnsi"/>
                <w:sz w:val="20"/>
                <w:szCs w:val="20"/>
              </w:rPr>
              <w:t>,</w:t>
            </w:r>
            <w:r w:rsidRPr="002B354E">
              <w:rPr>
                <w:rFonts w:cstheme="minorHAnsi"/>
                <w:sz w:val="20"/>
                <w:szCs w:val="20"/>
              </w:rPr>
              <w:t xml:space="preserve"> projektodawca zdecydował o usunięciu przepisu</w:t>
            </w:r>
            <w:r w:rsidR="00EA453B">
              <w:rPr>
                <w:rFonts w:cstheme="minorHAnsi"/>
                <w:sz w:val="20"/>
                <w:szCs w:val="20"/>
              </w:rPr>
              <w:t xml:space="preserve"> art. 5</w:t>
            </w:r>
            <w:r w:rsidRPr="002B354E">
              <w:rPr>
                <w:rFonts w:cstheme="minorHAnsi"/>
                <w:sz w:val="20"/>
                <w:szCs w:val="20"/>
              </w:rPr>
              <w:t xml:space="preserve"> z projektu i zaprzestaniu dalszych prac w tym zakresie.</w:t>
            </w:r>
          </w:p>
        </w:tc>
      </w:tr>
      <w:tr w:rsidR="008900D6" w:rsidRPr="002B354E" w14:paraId="7BCA869D" w14:textId="77777777" w:rsidTr="00943810">
        <w:trPr>
          <w:jc w:val="center"/>
        </w:trPr>
        <w:tc>
          <w:tcPr>
            <w:tcW w:w="846" w:type="dxa"/>
          </w:tcPr>
          <w:p w14:paraId="0E0E5B38" w14:textId="77777777" w:rsidR="008900D6" w:rsidRPr="002B354E" w:rsidRDefault="008900D6" w:rsidP="00943810">
            <w:pPr>
              <w:pStyle w:val="Akapitzlist"/>
              <w:numPr>
                <w:ilvl w:val="0"/>
                <w:numId w:val="4"/>
              </w:numPr>
              <w:rPr>
                <w:rFonts w:asciiTheme="minorHAnsi" w:hAnsiTheme="minorHAnsi" w:cstheme="minorHAnsi"/>
                <w:sz w:val="20"/>
                <w:szCs w:val="20"/>
              </w:rPr>
            </w:pPr>
          </w:p>
        </w:tc>
        <w:tc>
          <w:tcPr>
            <w:tcW w:w="992" w:type="dxa"/>
          </w:tcPr>
          <w:p w14:paraId="57CE2D69" w14:textId="5BEA3C4A" w:rsidR="008900D6" w:rsidRPr="002B354E" w:rsidRDefault="008900D6" w:rsidP="2A277BE4">
            <w:pPr>
              <w:rPr>
                <w:rFonts w:cstheme="minorHAnsi"/>
                <w:sz w:val="20"/>
                <w:szCs w:val="20"/>
              </w:rPr>
            </w:pPr>
            <w:r w:rsidRPr="002B354E">
              <w:rPr>
                <w:rFonts w:cstheme="minorHAnsi"/>
                <w:sz w:val="20"/>
                <w:szCs w:val="20"/>
              </w:rPr>
              <w:t>UODO</w:t>
            </w:r>
          </w:p>
        </w:tc>
        <w:tc>
          <w:tcPr>
            <w:tcW w:w="1134" w:type="dxa"/>
          </w:tcPr>
          <w:p w14:paraId="1BB10C95" w14:textId="184F2E21" w:rsidR="008900D6" w:rsidRPr="002B354E" w:rsidRDefault="008900D6" w:rsidP="2A277BE4">
            <w:pPr>
              <w:rPr>
                <w:rFonts w:cstheme="minorHAnsi"/>
                <w:spacing w:val="6"/>
                <w:sz w:val="20"/>
                <w:szCs w:val="20"/>
              </w:rPr>
            </w:pPr>
            <w:r w:rsidRPr="002B354E">
              <w:rPr>
                <w:rFonts w:cstheme="minorHAnsi"/>
                <w:spacing w:val="6"/>
                <w:sz w:val="20"/>
                <w:szCs w:val="20"/>
              </w:rPr>
              <w:t>Uwaga ogólna</w:t>
            </w:r>
          </w:p>
        </w:tc>
        <w:tc>
          <w:tcPr>
            <w:tcW w:w="7938" w:type="dxa"/>
          </w:tcPr>
          <w:p w14:paraId="067862F2" w14:textId="6A22A562" w:rsidR="008900D6" w:rsidRPr="002B354E" w:rsidRDefault="008900D6" w:rsidP="00784A9B">
            <w:pPr>
              <w:rPr>
                <w:rFonts w:cstheme="minorHAnsi"/>
                <w:sz w:val="20"/>
                <w:szCs w:val="20"/>
              </w:rPr>
            </w:pPr>
            <w:r w:rsidRPr="002B354E">
              <w:rPr>
                <w:rFonts w:cstheme="minorHAnsi"/>
              </w:rPr>
              <w:t xml:space="preserve">Test </w:t>
            </w:r>
            <w:r w:rsidRPr="002B354E">
              <w:rPr>
                <w:rFonts w:cstheme="minorHAnsi"/>
                <w:sz w:val="20"/>
                <w:szCs w:val="20"/>
              </w:rPr>
              <w:t>prywatności.</w:t>
            </w:r>
          </w:p>
          <w:p w14:paraId="7E484811" w14:textId="73A898DC" w:rsidR="008900D6" w:rsidRPr="002B354E" w:rsidRDefault="008900D6" w:rsidP="00784A9B">
            <w:pPr>
              <w:rPr>
                <w:rFonts w:cstheme="minorHAnsi"/>
                <w:sz w:val="20"/>
                <w:szCs w:val="20"/>
              </w:rPr>
            </w:pPr>
            <w:r w:rsidRPr="002B354E">
              <w:rPr>
                <w:rFonts w:cstheme="minorHAnsi"/>
                <w:sz w:val="20"/>
                <w:szCs w:val="20"/>
              </w:rPr>
              <w:t xml:space="preserve">Analiza projektowanych przepisów wskazuje, że dla ich realizacji będą przetwarzane w znacznej ilości oraz na wielką skalę – w tym </w:t>
            </w:r>
            <w:r w:rsidRPr="002B354E">
              <w:rPr>
                <w:rFonts w:cstheme="minorHAnsi"/>
                <w:b/>
                <w:bCs/>
                <w:sz w:val="20"/>
                <w:szCs w:val="20"/>
              </w:rPr>
              <w:t>z użyciem nowych technologii</w:t>
            </w:r>
            <w:r w:rsidRPr="002B354E">
              <w:rPr>
                <w:rFonts w:cstheme="minorHAnsi"/>
                <w:sz w:val="20"/>
                <w:szCs w:val="20"/>
              </w:rPr>
              <w:t xml:space="preserve"> (pozyskiwane z rejestrów publicznych za pomocą urządzeń teletransmisji danych) – dane osobowe podmiotów danych będących osobami fizycznymi przetwarzane w wielu rejestrach: PESEL (1), Dowodów Osobistych (2), stanu cywilnego (3), danych kontaktowych osób fizycznych (4) oraz Dokumentów Paszportowych (5), a także w systemie teleinformatycznym prowadzonym przez Ministra Sprawiedliwości (6).</w:t>
            </w:r>
          </w:p>
          <w:p w14:paraId="47F6F795" w14:textId="3FB990F8" w:rsidR="0027744A" w:rsidRPr="002B354E" w:rsidRDefault="008900D6" w:rsidP="00784A9B">
            <w:pPr>
              <w:rPr>
                <w:rFonts w:cstheme="minorHAnsi"/>
                <w:sz w:val="20"/>
                <w:szCs w:val="20"/>
              </w:rPr>
            </w:pPr>
            <w:r w:rsidRPr="002B354E">
              <w:rPr>
                <w:rFonts w:cstheme="minorHAnsi"/>
                <w:sz w:val="20"/>
                <w:szCs w:val="20"/>
              </w:rPr>
              <w:t xml:space="preserve">Będą to zarówno tzw. </w:t>
            </w:r>
            <w:r w:rsidRPr="002B354E">
              <w:rPr>
                <w:rFonts w:cstheme="minorHAnsi"/>
                <w:b/>
                <w:bCs/>
                <w:sz w:val="20"/>
                <w:szCs w:val="20"/>
              </w:rPr>
              <w:t>dane zwykłe</w:t>
            </w:r>
            <w:r w:rsidRPr="002B354E">
              <w:rPr>
                <w:rFonts w:cstheme="minorHAnsi"/>
                <w:sz w:val="20"/>
                <w:szCs w:val="20"/>
              </w:rPr>
              <w:t xml:space="preserve">, mogące jednak dotyczyć </w:t>
            </w:r>
            <w:r w:rsidRPr="002B354E">
              <w:rPr>
                <w:rFonts w:cstheme="minorHAnsi"/>
                <w:b/>
                <w:bCs/>
                <w:sz w:val="20"/>
                <w:szCs w:val="20"/>
              </w:rPr>
              <w:t>szczególnie wrażliwych dla prywatności i istotnej życiowo problematyki spraw sądowych</w:t>
            </w:r>
            <w:r w:rsidRPr="002B354E">
              <w:rPr>
                <w:rFonts w:cstheme="minorHAnsi"/>
                <w:sz w:val="20"/>
                <w:szCs w:val="20"/>
              </w:rPr>
              <w:t xml:space="preserve"> (m.in. dane dotyczące np. spraw rozwodowych, ustalenia ojcostwa, etc.), jak i dane wprost w przepisach prawa określone jako </w:t>
            </w:r>
            <w:r w:rsidRPr="002B354E">
              <w:rPr>
                <w:rFonts w:cstheme="minorHAnsi"/>
                <w:b/>
                <w:bCs/>
                <w:sz w:val="20"/>
                <w:szCs w:val="20"/>
              </w:rPr>
              <w:t>szczególne kategorie danych</w:t>
            </w:r>
            <w:r w:rsidRPr="002B354E">
              <w:rPr>
                <w:rFonts w:cstheme="minorHAnsi"/>
                <w:sz w:val="20"/>
                <w:szCs w:val="20"/>
              </w:rPr>
              <w:t xml:space="preserve"> objęte ochroną na postawie art. 9 ust. 1 rozporządzenia 2016/679</w:t>
            </w:r>
            <w:r w:rsidRPr="002B354E">
              <w:rPr>
                <w:rFonts w:cstheme="minorHAnsi"/>
                <w:sz w:val="20"/>
                <w:szCs w:val="20"/>
                <w:vertAlign w:val="superscript"/>
              </w:rPr>
              <w:t>9</w:t>
            </w:r>
            <w:r w:rsidRPr="002B354E">
              <w:rPr>
                <w:rFonts w:cstheme="minorHAnsi"/>
                <w:sz w:val="20"/>
                <w:szCs w:val="20"/>
              </w:rPr>
              <w:t>, np. dane biometryczne (odciski palców</w:t>
            </w:r>
            <w:r w:rsidRPr="002B354E">
              <w:rPr>
                <w:rFonts w:cstheme="minorHAnsi"/>
                <w:sz w:val="20"/>
                <w:szCs w:val="20"/>
                <w:vertAlign w:val="superscript"/>
              </w:rPr>
              <w:t>10</w:t>
            </w:r>
            <w:r w:rsidRPr="002B354E">
              <w:rPr>
                <w:rFonts w:cstheme="minorHAnsi"/>
                <w:sz w:val="20"/>
                <w:szCs w:val="20"/>
              </w:rPr>
              <w:t>, fotografie twarzy). Projektowane zmiany – w związku z pozyskiwaniem przez sądy danych z rejestrów publicznych – będą powodować również przetwarzanie danych podlegających</w:t>
            </w:r>
            <w:r w:rsidR="0027744A" w:rsidRPr="002B354E">
              <w:rPr>
                <w:rFonts w:cstheme="minorHAnsi"/>
                <w:sz w:val="20"/>
                <w:szCs w:val="20"/>
              </w:rPr>
              <w:t xml:space="preserve"> wzmocnionemu reżimowi ochrony w rozumieniu art. 10 rozporządzenia 2016/679</w:t>
            </w:r>
            <w:r w:rsidR="0027744A" w:rsidRPr="002B354E">
              <w:rPr>
                <w:rFonts w:cstheme="minorHAnsi"/>
                <w:sz w:val="20"/>
                <w:szCs w:val="20"/>
                <w:vertAlign w:val="superscript"/>
              </w:rPr>
              <w:t>11</w:t>
            </w:r>
            <w:r w:rsidR="0027744A" w:rsidRPr="002B354E">
              <w:rPr>
                <w:rFonts w:cstheme="minorHAnsi"/>
                <w:sz w:val="20"/>
                <w:szCs w:val="20"/>
              </w:rPr>
              <w:t xml:space="preserve"> (np. jeżeli w systemie teleinformatycznym Ministerstwa Sprawiedliwości będą przetwarzane przykładowo informacje co do tego, że sąd penitencjarny pobiera np. dane z bazy PESEL konkretnej osoby).</w:t>
            </w:r>
          </w:p>
          <w:p w14:paraId="4F1E9504" w14:textId="17F51600" w:rsidR="008900D6" w:rsidRPr="002B354E" w:rsidRDefault="0027744A" w:rsidP="00784A9B">
            <w:pPr>
              <w:rPr>
                <w:rFonts w:cstheme="minorHAnsi"/>
                <w:sz w:val="20"/>
                <w:szCs w:val="20"/>
              </w:rPr>
            </w:pPr>
            <w:r w:rsidRPr="002B354E">
              <w:rPr>
                <w:rFonts w:cstheme="minorHAnsi"/>
                <w:sz w:val="20"/>
                <w:szCs w:val="20"/>
              </w:rPr>
              <w:t xml:space="preserve">Oprócz ww. danych, na podstawie projektowanych rozwiązań będą przetwarzane </w:t>
            </w:r>
            <w:r w:rsidRPr="002B354E">
              <w:rPr>
                <w:rFonts w:cstheme="minorHAnsi"/>
                <w:b/>
                <w:bCs/>
                <w:sz w:val="20"/>
                <w:szCs w:val="20"/>
              </w:rPr>
              <w:t>numery PESEL</w:t>
            </w:r>
            <w:r w:rsidRPr="002B354E">
              <w:rPr>
                <w:rFonts w:cstheme="minorHAnsi"/>
                <w:sz w:val="20"/>
                <w:szCs w:val="20"/>
              </w:rPr>
              <w:t>, stanowiące krajowy numer identyfikacyjny zgodnie z art. 87 rozporządzenia 2016/679</w:t>
            </w:r>
            <w:r w:rsidRPr="002B354E">
              <w:rPr>
                <w:rFonts w:cstheme="minorHAnsi"/>
                <w:sz w:val="20"/>
                <w:szCs w:val="20"/>
                <w:vertAlign w:val="superscript"/>
              </w:rPr>
              <w:t>12</w:t>
            </w:r>
            <w:r w:rsidRPr="002B354E">
              <w:rPr>
                <w:rFonts w:cstheme="minorHAnsi"/>
                <w:sz w:val="20"/>
                <w:szCs w:val="20"/>
              </w:rPr>
              <w:t xml:space="preserve">, którego przetwarzanie podlega wzmocnionej ochronie prawnej. To oznacza, że przetwarzanie danych powinno być nie tylko </w:t>
            </w:r>
            <w:r w:rsidRPr="002B354E">
              <w:rPr>
                <w:rFonts w:cstheme="minorHAnsi"/>
                <w:b/>
                <w:bCs/>
                <w:sz w:val="20"/>
                <w:szCs w:val="20"/>
              </w:rPr>
              <w:t>zgodne ze standardami i zasadami dotyczącymi przetwarzania danych osobowych ukształtowanymi mocą art. 5 rozporządzenia 2016/679</w:t>
            </w:r>
            <w:r w:rsidRPr="002B354E">
              <w:rPr>
                <w:rFonts w:cstheme="minorHAnsi"/>
                <w:sz w:val="20"/>
                <w:szCs w:val="20"/>
                <w:vertAlign w:val="superscript"/>
              </w:rPr>
              <w:t>13</w:t>
            </w:r>
            <w:r w:rsidRPr="002B354E">
              <w:rPr>
                <w:rFonts w:cstheme="minorHAnsi"/>
                <w:sz w:val="20"/>
                <w:szCs w:val="20"/>
              </w:rPr>
              <w:t xml:space="preserve">, ale i </w:t>
            </w:r>
            <w:r w:rsidRPr="002B354E">
              <w:rPr>
                <w:rFonts w:cstheme="minorHAnsi"/>
                <w:b/>
                <w:bCs/>
                <w:sz w:val="20"/>
                <w:szCs w:val="20"/>
              </w:rPr>
              <w:t>objęte testem prywatności wraz z oceną skutków dla ochrony danych</w:t>
            </w:r>
            <w:r w:rsidRPr="002B354E">
              <w:rPr>
                <w:rFonts w:cstheme="minorHAnsi"/>
                <w:sz w:val="20"/>
                <w:szCs w:val="20"/>
              </w:rPr>
              <w:t xml:space="preserve"> (art. 25</w:t>
            </w:r>
            <w:r w:rsidRPr="002B354E">
              <w:rPr>
                <w:rFonts w:cstheme="minorHAnsi"/>
                <w:sz w:val="20"/>
                <w:szCs w:val="20"/>
                <w:vertAlign w:val="superscript"/>
              </w:rPr>
              <w:t>14</w:t>
            </w:r>
            <w:r w:rsidRPr="002B354E">
              <w:rPr>
                <w:rFonts w:cstheme="minorHAnsi"/>
                <w:sz w:val="20"/>
                <w:szCs w:val="20"/>
              </w:rPr>
              <w:t xml:space="preserve"> i 35 ust. 1</w:t>
            </w:r>
            <w:r w:rsidRPr="002B354E">
              <w:rPr>
                <w:rFonts w:cstheme="minorHAnsi"/>
                <w:sz w:val="20"/>
                <w:szCs w:val="20"/>
                <w:vertAlign w:val="superscript"/>
              </w:rPr>
              <w:t>15</w:t>
            </w:r>
            <w:r w:rsidRPr="002B354E">
              <w:rPr>
                <w:rFonts w:cstheme="minorHAnsi"/>
                <w:sz w:val="20"/>
                <w:szCs w:val="20"/>
              </w:rPr>
              <w:t xml:space="preserve"> rozporządzenia 2016/679). Pozwoliłoby to m.in. zbadać, ale i przyjąć takie rozwiązania, </w:t>
            </w:r>
            <w:r w:rsidRPr="002B354E">
              <w:rPr>
                <w:rFonts w:cstheme="minorHAnsi"/>
                <w:b/>
                <w:bCs/>
                <w:sz w:val="20"/>
                <w:szCs w:val="20"/>
              </w:rPr>
              <w:t>aby projektowane przepisy</w:t>
            </w:r>
            <w:r w:rsidRPr="002B354E">
              <w:rPr>
                <w:rFonts w:cstheme="minorHAnsi"/>
                <w:sz w:val="20"/>
                <w:szCs w:val="20"/>
              </w:rPr>
              <w:t xml:space="preserve"> – zgodnie z art. 6 ust. 3 z rozporządzenia 2016/679 – </w:t>
            </w:r>
            <w:r w:rsidRPr="002B354E">
              <w:rPr>
                <w:rFonts w:cstheme="minorHAnsi"/>
                <w:b/>
                <w:bCs/>
                <w:sz w:val="20"/>
                <w:szCs w:val="20"/>
              </w:rPr>
              <w:t xml:space="preserve">były proporcjonalne i zawierały gwarancje odpowiednie do </w:t>
            </w:r>
            <w:r w:rsidRPr="002B354E">
              <w:rPr>
                <w:rFonts w:cstheme="minorHAnsi"/>
                <w:b/>
                <w:bCs/>
                <w:i/>
                <w:iCs/>
                <w:sz w:val="20"/>
                <w:szCs w:val="20"/>
              </w:rPr>
              <w:t>ratio legis</w:t>
            </w:r>
            <w:r w:rsidRPr="002B354E">
              <w:rPr>
                <w:rFonts w:cstheme="minorHAnsi"/>
                <w:b/>
                <w:bCs/>
                <w:sz w:val="20"/>
                <w:szCs w:val="20"/>
              </w:rPr>
              <w:t xml:space="preserve"> </w:t>
            </w:r>
            <w:r w:rsidRPr="002B354E">
              <w:rPr>
                <w:rFonts w:cstheme="minorHAnsi"/>
                <w:sz w:val="20"/>
                <w:szCs w:val="20"/>
              </w:rPr>
              <w:t xml:space="preserve">projektu. Istotne jest zatem, aby projektowane przepisy zapewniły stosowanie norm ogólnego rozporządzenia o ochronie danych dla realizacji proponowanych rozwiązań i były przeanalizowane z uwzględnieniem ryzyk towarzyszących operacjom przetwarzania takich danych osobowych, bez obniżenia </w:t>
            </w:r>
            <w:r w:rsidRPr="002B354E">
              <w:rPr>
                <w:rFonts w:cstheme="minorHAnsi"/>
                <w:sz w:val="20"/>
                <w:szCs w:val="20"/>
              </w:rPr>
              <w:lastRenderedPageBreak/>
              <w:t>wymaganych standardów, a tym samym zapewniały gwarancje wynikające z przepisów dotyczących przetwarzania danych osobowych, m.in. co do realizacji praw i wolności osób, których dane dotyczą (podmiotów danych). Szczególną uwagą projektodawcy powinny być objęte sposób przetwarzania danych osobowych pozyskiwanych przez sądy w trybie teletransmisji z rejestrów publicznych, a także przetwarzanie tych danych w systemie teleinformatycznym przez Ministra Sprawiedliwości. Projektodawca powinien bowiem ocenić czy projektowane rozwiązania ustawy nie powinny zostać rozbudowane tak by w pełni realizowały zasady ochrony danych osobowych (art. 5 rozporządzenia 2016/679), a także zawierały rozwiązania gwarantujące środki ochrony praw i wolności osób, których dane dotyczą.</w:t>
            </w:r>
          </w:p>
          <w:p w14:paraId="4CF6C892" w14:textId="77777777" w:rsidR="0027744A" w:rsidRPr="002B354E" w:rsidRDefault="0027744A" w:rsidP="00784A9B">
            <w:pPr>
              <w:rPr>
                <w:rFonts w:cstheme="minorHAnsi"/>
                <w:sz w:val="20"/>
                <w:szCs w:val="20"/>
              </w:rPr>
            </w:pPr>
          </w:p>
          <w:p w14:paraId="4391DA73" w14:textId="7A64B84B" w:rsidR="0027744A" w:rsidRPr="002B354E" w:rsidRDefault="0027744A" w:rsidP="00784A9B">
            <w:pPr>
              <w:rPr>
                <w:rFonts w:cstheme="minorHAnsi"/>
                <w:sz w:val="20"/>
                <w:szCs w:val="20"/>
              </w:rPr>
            </w:pPr>
            <w:r w:rsidRPr="002B354E">
              <w:rPr>
                <w:rFonts w:cstheme="minorHAnsi"/>
                <w:sz w:val="20"/>
                <w:szCs w:val="20"/>
                <w:vertAlign w:val="superscript"/>
              </w:rPr>
              <w:t>9</w:t>
            </w:r>
            <w:r w:rsidRPr="002B354E">
              <w:rPr>
                <w:rFonts w:cstheme="minorHAnsi"/>
                <w:sz w:val="20"/>
                <w:szCs w:val="20"/>
              </w:rPr>
              <w:t xml:space="preserve"> Zgodnie z art. 9 ust. 1 rozporządzenia 2016/679 zabrania się przetwarzania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w:t>
            </w:r>
          </w:p>
          <w:p w14:paraId="38BC61FF" w14:textId="1DFA8F4F" w:rsidR="0027744A" w:rsidRPr="002B354E" w:rsidRDefault="0027744A" w:rsidP="00784A9B">
            <w:pPr>
              <w:rPr>
                <w:rFonts w:cstheme="minorHAnsi"/>
                <w:sz w:val="20"/>
                <w:szCs w:val="20"/>
              </w:rPr>
            </w:pPr>
            <w:r w:rsidRPr="002B354E">
              <w:rPr>
                <w:rFonts w:cstheme="minorHAnsi"/>
                <w:sz w:val="20"/>
                <w:szCs w:val="20"/>
                <w:vertAlign w:val="superscript"/>
              </w:rPr>
              <w:t>10</w:t>
            </w:r>
            <w:r w:rsidRPr="002B354E">
              <w:rPr>
                <w:rFonts w:cstheme="minorHAnsi"/>
                <w:sz w:val="20"/>
                <w:szCs w:val="20"/>
              </w:rPr>
              <w:t xml:space="preserve"> Zgodnie z § 4 ust 5 rozporządzenia Ministra Cyfryzacji z dnia 15 października 2021 r. w sprawie prowadzenia Rejestru Dowodów Osobistych (Dz. U. poz. 1903) dane biometryczne w zakresie odcisków palców gromadzone w RDO mogą być przetwarzane w postaci niezaszyfrowanej w trakcie procesu ich pobierania oraz personalizacji dowodu osobistego.</w:t>
            </w:r>
          </w:p>
          <w:p w14:paraId="263F3BC3" w14:textId="7F71C33E" w:rsidR="0027744A" w:rsidRPr="002B354E" w:rsidRDefault="0027744A" w:rsidP="00784A9B">
            <w:pPr>
              <w:rPr>
                <w:rFonts w:cstheme="minorHAnsi"/>
                <w:sz w:val="20"/>
                <w:szCs w:val="20"/>
              </w:rPr>
            </w:pPr>
            <w:r w:rsidRPr="002B354E">
              <w:rPr>
                <w:rFonts w:cstheme="minorHAnsi"/>
                <w:sz w:val="20"/>
                <w:szCs w:val="20"/>
                <w:vertAlign w:val="superscript"/>
              </w:rPr>
              <w:t>11</w:t>
            </w:r>
            <w:r w:rsidRPr="002B354E">
              <w:rPr>
                <w:rFonts w:cstheme="minorHAnsi"/>
                <w:sz w:val="20"/>
                <w:szCs w:val="20"/>
              </w:rPr>
              <w:t xml:space="preserve"> Zgodnie z art. 10 rozporządzenia 2016/679 przetwarzania danych osobowych dotyczących wyroków skazujących oraz czynów zabronionych lub powiązanych środków bezpieczeństwa na podstawie art. 6 ust. 1 wolno dokonywać wyłącznie pod nadzorem władz publicznych lub jeżeli przetwarzanie jest dozwolone prawem Unii lub prawem państwa członkowskiego przewidującymi odpowiednie zabezpieczenia praw i wolności osób, których dane dotyczą. Wszelkie kompletne rejestry wyroków skazujących są prowadzone wyłącznie pod nadzorem władz publicznych.</w:t>
            </w:r>
          </w:p>
          <w:p w14:paraId="5A21224E" w14:textId="0A017256" w:rsidR="0027744A" w:rsidRPr="002B354E" w:rsidRDefault="0027744A" w:rsidP="00784A9B">
            <w:pPr>
              <w:rPr>
                <w:rFonts w:cstheme="minorHAnsi"/>
                <w:sz w:val="20"/>
                <w:szCs w:val="20"/>
              </w:rPr>
            </w:pPr>
            <w:r w:rsidRPr="002B354E">
              <w:rPr>
                <w:rFonts w:cstheme="minorHAnsi"/>
                <w:sz w:val="20"/>
                <w:szCs w:val="20"/>
                <w:vertAlign w:val="superscript"/>
              </w:rPr>
              <w:t>12</w:t>
            </w:r>
            <w:r w:rsidRPr="002B354E">
              <w:rPr>
                <w:rFonts w:cstheme="minorHAnsi"/>
                <w:sz w:val="20"/>
                <w:szCs w:val="20"/>
              </w:rPr>
              <w:t xml:space="preserve"> Państwa członkowskie mogą określić szczególne warunki przetwarzania krajowego numeru identyfikacyjnego lub innego identyfikatora o zasięgu ogólnym. W takim przypadku krajowego numeru identyfikacyjnego lub innego identyfikatora o zasięgu ogólnym używa się wyłącznie z zachowaniem odpowiednich zabezpieczeń praw i wolności osoby, której dane dotyczą, które przewiduje niniejsze rozporządzenie.</w:t>
            </w:r>
          </w:p>
          <w:p w14:paraId="123085A2" w14:textId="75F146E7" w:rsidR="0027744A" w:rsidRPr="002B354E" w:rsidRDefault="0027744A" w:rsidP="00784A9B">
            <w:pPr>
              <w:rPr>
                <w:rFonts w:cstheme="minorHAnsi"/>
                <w:sz w:val="20"/>
                <w:szCs w:val="20"/>
              </w:rPr>
            </w:pPr>
            <w:r w:rsidRPr="002B354E">
              <w:rPr>
                <w:rFonts w:cstheme="minorHAnsi"/>
                <w:sz w:val="20"/>
                <w:szCs w:val="20"/>
                <w:vertAlign w:val="superscript"/>
              </w:rPr>
              <w:t>13</w:t>
            </w:r>
            <w:r w:rsidRPr="002B354E">
              <w:rPr>
                <w:rFonts w:cstheme="minorHAnsi"/>
                <w:sz w:val="20"/>
                <w:szCs w:val="20"/>
              </w:rPr>
              <w:t xml:space="preserve"> Zgodnie z art. 5 ust. 1 rozporządzenia 2016/679 dane osobowe muszą być: a) przetwarzane zgodnie z prawem, rzetelnie i w sposób przejrzysty dla osoby, której dane dotyczą ("zgodność z prawem, rzetelność i przejrzystość"); b) zbierane w konkretnych, wyraźnych i prawnie uzasadnionych celach i nieprzetwarzane dalej w sposób niezgodny z tymi celami; dalsze przetwarzanie do celów archiwalnych w interesie publicznym, do celów badań naukowych lub historycznych lub do celów statystycznych nie jest uznawane w myśl art. 89 ust. 1 za niezgodne z pierwotnymi celami ("ograniczenie celu"); c) adekwatne, stosowne oraz ograniczone do tego, co niezbędne do celów, w których są przetwarzane ("minimalizacja danych"); d) prawidłowe i </w:t>
            </w:r>
            <w:r w:rsidRPr="002B354E">
              <w:rPr>
                <w:rFonts w:cstheme="minorHAnsi"/>
                <w:sz w:val="20"/>
                <w:szCs w:val="20"/>
              </w:rPr>
              <w:lastRenderedPageBreak/>
              <w:t>w razie potrzeby uaktualniane; należy podjąć wszelkie rozsądne działania, aby dane osobowe, które są nieprawidłowe w świetle celów ich przetwarzania, zostały niezwłocznie usunięte lub sprostowane ("prawidłowość"); e) przechowywane w formie umożliwiającej identyfikację osoby, której dane dotyczą, przez okres nie dłuższy, niż jest to niezbędne do celów, w których dane te są przetwarzane; dane osobowe można przechowywać przez okres dłuższy, o ile będą one przetwarzane wyłącznie do celów archiwalnych w interesie publicznym, do celów badań naukowych lub historycznych lub do celów statystycznych na mocy art. 89 ust. 1, z zastrzeżeniem że wdrożone zostaną odpowiednie środki techniczne i organizacyjne wymagane na mocy niniejszego rozporządzenia w celu ochrony praw i wolności osób, których dane dotyczą ("ograniczenie przechowywania"); f) przetwarzane w sposób zapewniający odpowiednie bezpieczeństwo danych osobowych, w tym ochronę przed niedozwolonym lub niezgodnym z prawem przetwarzaniem oraz przypadkową utratą, zniszczeniem lub uszkodzeniem, za pomocą odpowiednich środków technicznych lub organizacyjnych ("integralność i poufność"). Zgodnie z art. 5 ust. 2 rozporządzenia 2016/679 Administrator jest odpowiedzialny za przestrzeganie przepisów ust. 1 i musi być w stanie wykazać ich przestrzeganie ("rozliczalność").</w:t>
            </w:r>
          </w:p>
          <w:p w14:paraId="58C808F1" w14:textId="27A03E99" w:rsidR="0027744A" w:rsidRPr="002B354E" w:rsidRDefault="0027744A" w:rsidP="00784A9B">
            <w:pPr>
              <w:rPr>
                <w:rFonts w:cstheme="minorHAnsi"/>
                <w:sz w:val="20"/>
                <w:szCs w:val="20"/>
              </w:rPr>
            </w:pPr>
            <w:r w:rsidRPr="002B354E">
              <w:rPr>
                <w:rFonts w:cstheme="minorHAnsi"/>
                <w:sz w:val="20"/>
                <w:szCs w:val="20"/>
                <w:vertAlign w:val="superscript"/>
              </w:rPr>
              <w:t>14</w:t>
            </w:r>
            <w:r w:rsidRPr="002B354E">
              <w:rPr>
                <w:rFonts w:cstheme="minorHAnsi"/>
                <w:sz w:val="20"/>
                <w:szCs w:val="20"/>
              </w:rPr>
              <w:t xml:space="preserve"> Ust. 1 Uwzględniając stan wiedzy technicznej, koszt wdrażania oraz charakter, zakres, kontekst i cele przetwarzania oraz ryzyko naruszenia praw lub wolności osób fizycznych o różnym prawdopodobieństwie wystąpienia i wadze wynikające z przetwarzania, administrator - zarówno przy określaniu sposobów przetwarzania, jak i w czasie samego przetwarzania - wdraża odpowiednie środki techniczne i organizacyjne, takie jak pseudonimizacja, zaprojektowane w celu skutecznej realizacji zasad ochrony danych, takich jak minimalizacja danych, oraz w celu nadania przetwarzaniu niezbędnych zabezpieczeń, tak by spełnić wymogi niniejszego rozporządzenia oraz chronić prawa osób, których dane dotyczą. 2. Administrator wdraża odpowiednie środki techniczne i organizacyjne, aby domyślnie przetwarzane były wyłącznie te dane osobowe, które są niezbędne dla osiągnięcia każdego konkretnego celu przetwarzania. Obowiązek ten odnosi się do ilości zbieranych danych osobowych, zakresu ich przetwarzania, okresu ich przechowywania oraz ich dostępności. W szczególności środki te zapewniają, by domyślnie dane osobowe nie były udostępniane bez interwencji danej osoby nieokreślonej liczbie osób fizycznych. 3. Wywiązywanie się z obowiązków, o których mowa w ust. 1 i 2 niniejszego artykułu, można wykazać między innymi poprzez wprowadzenie zatwierdzonego mechanizmu certyfikacji określonego w art. 42.</w:t>
            </w:r>
          </w:p>
          <w:p w14:paraId="723C7822" w14:textId="1BFE1CC2" w:rsidR="0027744A" w:rsidRPr="002B354E" w:rsidRDefault="0027744A" w:rsidP="00784A9B">
            <w:pPr>
              <w:rPr>
                <w:rFonts w:cstheme="minorHAnsi"/>
              </w:rPr>
            </w:pPr>
            <w:r w:rsidRPr="002B354E">
              <w:rPr>
                <w:rFonts w:cstheme="minorHAnsi"/>
                <w:sz w:val="20"/>
                <w:szCs w:val="20"/>
                <w:vertAlign w:val="superscript"/>
              </w:rPr>
              <w:t>15</w:t>
            </w:r>
            <w:r w:rsidRPr="002B354E">
              <w:rPr>
                <w:rFonts w:cstheme="minorHAnsi"/>
                <w:sz w:val="20"/>
                <w:szCs w:val="20"/>
              </w:rPr>
              <w:t xml:space="preserve"> Jeżeli dany rodzaj przetwarzania - w szczególności z użyciem nowych technologii - ze względu na swój charakter, zakres, kontekst i cele z dużym prawdopodobieństwem może powodować wysokie ryzyko naruszenia praw lub wolności osób fizycznych, administrator przed rozpoczęciem przetwarzania dokonuje oceny skutków planowanych operacji przetwarzania dla ochrony danych osobowych. Dla podobnych operacji przetwarzania danych wiążących się z podobnym wysokim ryzykiem można przeprowadzić pojedynczą ocenę.</w:t>
            </w:r>
          </w:p>
        </w:tc>
        <w:tc>
          <w:tcPr>
            <w:tcW w:w="3686" w:type="dxa"/>
          </w:tcPr>
          <w:p w14:paraId="4DB71237" w14:textId="46DFAF2E" w:rsidR="00E80E12" w:rsidRPr="002B354E" w:rsidRDefault="0038399E" w:rsidP="00C1432C">
            <w:pPr>
              <w:rPr>
                <w:rFonts w:cstheme="minorHAnsi"/>
                <w:b/>
                <w:bCs/>
                <w:sz w:val="20"/>
                <w:szCs w:val="20"/>
              </w:rPr>
            </w:pPr>
            <w:r w:rsidRPr="002B354E">
              <w:rPr>
                <w:rFonts w:cstheme="minorHAnsi"/>
                <w:b/>
                <w:bCs/>
                <w:sz w:val="20"/>
                <w:szCs w:val="20"/>
              </w:rPr>
              <w:lastRenderedPageBreak/>
              <w:t>Uwaga uwzględniona</w:t>
            </w:r>
          </w:p>
          <w:p w14:paraId="14D99F8C" w14:textId="78620807" w:rsidR="008900D6" w:rsidRPr="002B354E" w:rsidRDefault="005033D4" w:rsidP="00943810">
            <w:pPr>
              <w:rPr>
                <w:rFonts w:cstheme="minorHAnsi"/>
                <w:sz w:val="20"/>
                <w:szCs w:val="20"/>
              </w:rPr>
            </w:pPr>
            <w:r w:rsidRPr="002B354E">
              <w:rPr>
                <w:rFonts w:cstheme="minorHAnsi"/>
                <w:sz w:val="20"/>
                <w:szCs w:val="20"/>
              </w:rPr>
              <w:t>W związku z istotnymi wątpliwościami zgłoszonymi przez Prezesa Urzędu Ochrony Danych Osobowych</w:t>
            </w:r>
            <w:r w:rsidR="006215E2" w:rsidRPr="002B354E">
              <w:rPr>
                <w:rFonts w:cstheme="minorHAnsi"/>
                <w:sz w:val="20"/>
                <w:szCs w:val="20"/>
              </w:rPr>
              <w:t>,</w:t>
            </w:r>
            <w:r w:rsidRPr="002B354E">
              <w:rPr>
                <w:rFonts w:cstheme="minorHAnsi"/>
                <w:sz w:val="20"/>
                <w:szCs w:val="20"/>
              </w:rPr>
              <w:t xml:space="preserve"> projektodawca zdecydował o usunięciu tego przepisu z projektu i zaprzestaniu dalszych prac w tym zakresie.</w:t>
            </w:r>
          </w:p>
        </w:tc>
      </w:tr>
    </w:tbl>
    <w:p w14:paraId="59F56CCA" w14:textId="43DF344F" w:rsidR="2A277BE4" w:rsidRPr="002B354E" w:rsidRDefault="2A277BE4">
      <w:pPr>
        <w:rPr>
          <w:rFonts w:cstheme="minorHAnsi"/>
          <w:sz w:val="20"/>
          <w:szCs w:val="20"/>
        </w:rPr>
      </w:pPr>
    </w:p>
    <w:sectPr w:rsidR="2A277BE4" w:rsidRPr="002B354E" w:rsidSect="00B1735F">
      <w:pgSz w:w="16838" w:h="11906" w:orient="landscape"/>
      <w:pgMar w:top="851"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56E8C" w14:textId="77777777" w:rsidR="00DD1DEC" w:rsidRDefault="00DD1DEC" w:rsidP="00F45C59">
      <w:pPr>
        <w:spacing w:after="0" w:line="240" w:lineRule="auto"/>
      </w:pPr>
      <w:r>
        <w:separator/>
      </w:r>
    </w:p>
  </w:endnote>
  <w:endnote w:type="continuationSeparator" w:id="0">
    <w:p w14:paraId="58E51952" w14:textId="77777777" w:rsidR="00DD1DEC" w:rsidRDefault="00DD1DEC" w:rsidP="00F45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A858A" w14:textId="77777777" w:rsidR="00DD1DEC" w:rsidRDefault="00DD1DEC" w:rsidP="00F45C59">
      <w:pPr>
        <w:spacing w:after="0" w:line="240" w:lineRule="auto"/>
      </w:pPr>
      <w:r>
        <w:separator/>
      </w:r>
    </w:p>
  </w:footnote>
  <w:footnote w:type="continuationSeparator" w:id="0">
    <w:p w14:paraId="39044E61" w14:textId="77777777" w:rsidR="00DD1DEC" w:rsidRDefault="00DD1DEC" w:rsidP="00F45C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470759"/>
    <w:multiLevelType w:val="hybridMultilevel"/>
    <w:tmpl w:val="1F86DE3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2BF33DE3"/>
    <w:multiLevelType w:val="multilevel"/>
    <w:tmpl w:val="09905506"/>
    <w:lvl w:ilvl="0">
      <w:start w:val="1"/>
      <w:numFmt w:val="decimal"/>
      <w:lvlText w:val="%1)"/>
      <w:lvlJc w:val="left"/>
      <w:rPr>
        <w:rFonts w:asciiTheme="minorHAnsi" w:eastAsia="Times New Roman" w:hAnsiTheme="minorHAnsi" w:cstheme="minorHAnsi" w:hint="default"/>
        <w:b w:val="0"/>
        <w:bCs/>
        <w:i/>
        <w:iCs/>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0D51F64"/>
    <w:multiLevelType w:val="hybridMultilevel"/>
    <w:tmpl w:val="FD344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1287DA9"/>
    <w:multiLevelType w:val="hybridMultilevel"/>
    <w:tmpl w:val="000AF77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CCA43CA"/>
    <w:multiLevelType w:val="hybridMultilevel"/>
    <w:tmpl w:val="B7AAA774"/>
    <w:lvl w:ilvl="0" w:tplc="D4B22FBA">
      <w:start w:val="1"/>
      <w:numFmt w:val="bullet"/>
      <w:lvlText w:val="-"/>
      <w:lvlJc w:val="left"/>
      <w:pPr>
        <w:ind w:left="578" w:hanging="360"/>
      </w:pPr>
      <w:rPr>
        <w:rFonts w:ascii="Times New Roman" w:hAnsi="Times New Roman" w:cs="Times New Roman" w:hint="default"/>
      </w:rPr>
    </w:lvl>
    <w:lvl w:ilvl="1" w:tplc="04150003">
      <w:start w:val="1"/>
      <w:numFmt w:val="bullet"/>
      <w:lvlText w:val="o"/>
      <w:lvlJc w:val="left"/>
      <w:pPr>
        <w:ind w:left="1298" w:hanging="360"/>
      </w:pPr>
      <w:rPr>
        <w:rFonts w:ascii="Courier New" w:hAnsi="Courier New" w:cs="Courier New" w:hint="default"/>
      </w:rPr>
    </w:lvl>
    <w:lvl w:ilvl="2" w:tplc="04150005">
      <w:start w:val="1"/>
      <w:numFmt w:val="bullet"/>
      <w:lvlText w:val=""/>
      <w:lvlJc w:val="left"/>
      <w:pPr>
        <w:ind w:left="2018" w:hanging="360"/>
      </w:pPr>
      <w:rPr>
        <w:rFonts w:ascii="Wingdings" w:hAnsi="Wingdings" w:hint="default"/>
      </w:rPr>
    </w:lvl>
    <w:lvl w:ilvl="3" w:tplc="04150001">
      <w:start w:val="1"/>
      <w:numFmt w:val="bullet"/>
      <w:lvlText w:val=""/>
      <w:lvlJc w:val="left"/>
      <w:pPr>
        <w:ind w:left="2738" w:hanging="360"/>
      </w:pPr>
      <w:rPr>
        <w:rFonts w:ascii="Symbol" w:hAnsi="Symbol" w:hint="default"/>
      </w:rPr>
    </w:lvl>
    <w:lvl w:ilvl="4" w:tplc="04150003">
      <w:start w:val="1"/>
      <w:numFmt w:val="bullet"/>
      <w:lvlText w:val="o"/>
      <w:lvlJc w:val="left"/>
      <w:pPr>
        <w:ind w:left="3458" w:hanging="360"/>
      </w:pPr>
      <w:rPr>
        <w:rFonts w:ascii="Courier New" w:hAnsi="Courier New" w:cs="Courier New" w:hint="default"/>
      </w:rPr>
    </w:lvl>
    <w:lvl w:ilvl="5" w:tplc="04150005">
      <w:start w:val="1"/>
      <w:numFmt w:val="bullet"/>
      <w:lvlText w:val=""/>
      <w:lvlJc w:val="left"/>
      <w:pPr>
        <w:ind w:left="4178" w:hanging="360"/>
      </w:pPr>
      <w:rPr>
        <w:rFonts w:ascii="Wingdings" w:hAnsi="Wingdings" w:hint="default"/>
      </w:rPr>
    </w:lvl>
    <w:lvl w:ilvl="6" w:tplc="04150001">
      <w:start w:val="1"/>
      <w:numFmt w:val="bullet"/>
      <w:lvlText w:val=""/>
      <w:lvlJc w:val="left"/>
      <w:pPr>
        <w:ind w:left="4898" w:hanging="360"/>
      </w:pPr>
      <w:rPr>
        <w:rFonts w:ascii="Symbol" w:hAnsi="Symbol" w:hint="default"/>
      </w:rPr>
    </w:lvl>
    <w:lvl w:ilvl="7" w:tplc="04150003">
      <w:start w:val="1"/>
      <w:numFmt w:val="bullet"/>
      <w:lvlText w:val="o"/>
      <w:lvlJc w:val="left"/>
      <w:pPr>
        <w:ind w:left="5618" w:hanging="360"/>
      </w:pPr>
      <w:rPr>
        <w:rFonts w:ascii="Courier New" w:hAnsi="Courier New" w:cs="Courier New" w:hint="default"/>
      </w:rPr>
    </w:lvl>
    <w:lvl w:ilvl="8" w:tplc="04150005">
      <w:start w:val="1"/>
      <w:numFmt w:val="bullet"/>
      <w:lvlText w:val=""/>
      <w:lvlJc w:val="left"/>
      <w:pPr>
        <w:ind w:left="6338" w:hanging="360"/>
      </w:pPr>
      <w:rPr>
        <w:rFonts w:ascii="Wingdings" w:hAnsi="Wingdings" w:hint="default"/>
      </w:rPr>
    </w:lvl>
  </w:abstractNum>
  <w:abstractNum w:abstractNumId="5" w15:restartNumberingAfterBreak="0">
    <w:nsid w:val="50336B14"/>
    <w:multiLevelType w:val="hybridMultilevel"/>
    <w:tmpl w:val="347A9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81E4BDD"/>
    <w:multiLevelType w:val="hybridMultilevel"/>
    <w:tmpl w:val="CD3AD73A"/>
    <w:lvl w:ilvl="0" w:tplc="D2882BE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 w15:restartNumberingAfterBreak="0">
    <w:nsid w:val="653976DC"/>
    <w:multiLevelType w:val="hybridMultilevel"/>
    <w:tmpl w:val="4978D7A4"/>
    <w:lvl w:ilvl="0" w:tplc="22D0ED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6AA440A"/>
    <w:multiLevelType w:val="hybridMultilevel"/>
    <w:tmpl w:val="E1700B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9413775"/>
    <w:multiLevelType w:val="hybridMultilevel"/>
    <w:tmpl w:val="67FCC2A0"/>
    <w:lvl w:ilvl="0" w:tplc="64B4DC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0966298">
    <w:abstractNumId w:val="0"/>
  </w:num>
  <w:num w:numId="2" w16cid:durableId="1086416786">
    <w:abstractNumId w:val="3"/>
  </w:num>
  <w:num w:numId="3" w16cid:durableId="1010373735">
    <w:abstractNumId w:val="1"/>
  </w:num>
  <w:num w:numId="4" w16cid:durableId="304044278">
    <w:abstractNumId w:val="5"/>
  </w:num>
  <w:num w:numId="5" w16cid:durableId="1885628863">
    <w:abstractNumId w:val="2"/>
  </w:num>
  <w:num w:numId="6" w16cid:durableId="1373114167">
    <w:abstractNumId w:val="7"/>
  </w:num>
  <w:num w:numId="7" w16cid:durableId="646013506">
    <w:abstractNumId w:val="9"/>
  </w:num>
  <w:num w:numId="8" w16cid:durableId="2007859063">
    <w:abstractNumId w:val="4"/>
  </w:num>
  <w:num w:numId="9" w16cid:durableId="703209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97212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F97"/>
    <w:rsid w:val="000019E2"/>
    <w:rsid w:val="00021CB1"/>
    <w:rsid w:val="00024D95"/>
    <w:rsid w:val="00030234"/>
    <w:rsid w:val="000310DF"/>
    <w:rsid w:val="000311B6"/>
    <w:rsid w:val="00036C91"/>
    <w:rsid w:val="00075D4C"/>
    <w:rsid w:val="00084774"/>
    <w:rsid w:val="000A008B"/>
    <w:rsid w:val="000C16CF"/>
    <w:rsid w:val="000D01DA"/>
    <w:rsid w:val="000E3DC4"/>
    <w:rsid w:val="000E63F6"/>
    <w:rsid w:val="000F228C"/>
    <w:rsid w:val="000F73FB"/>
    <w:rsid w:val="001036BB"/>
    <w:rsid w:val="0010608F"/>
    <w:rsid w:val="0012165D"/>
    <w:rsid w:val="00122233"/>
    <w:rsid w:val="00130B6D"/>
    <w:rsid w:val="00130B95"/>
    <w:rsid w:val="001430D4"/>
    <w:rsid w:val="00143303"/>
    <w:rsid w:val="00156317"/>
    <w:rsid w:val="00156D61"/>
    <w:rsid w:val="00164ED6"/>
    <w:rsid w:val="001931EA"/>
    <w:rsid w:val="00193BC8"/>
    <w:rsid w:val="00196F98"/>
    <w:rsid w:val="001A53F2"/>
    <w:rsid w:val="001A7E54"/>
    <w:rsid w:val="001B5D57"/>
    <w:rsid w:val="001B5FDA"/>
    <w:rsid w:val="001C2540"/>
    <w:rsid w:val="001D3E64"/>
    <w:rsid w:val="001D6642"/>
    <w:rsid w:val="001E3A93"/>
    <w:rsid w:val="001F11D7"/>
    <w:rsid w:val="001F743B"/>
    <w:rsid w:val="0022152A"/>
    <w:rsid w:val="002247C9"/>
    <w:rsid w:val="002378A9"/>
    <w:rsid w:val="00246C6B"/>
    <w:rsid w:val="0026725E"/>
    <w:rsid w:val="00276D25"/>
    <w:rsid w:val="0027744A"/>
    <w:rsid w:val="002977C9"/>
    <w:rsid w:val="002A52C4"/>
    <w:rsid w:val="002A5E8B"/>
    <w:rsid w:val="002B0596"/>
    <w:rsid w:val="002B0F18"/>
    <w:rsid w:val="002B354E"/>
    <w:rsid w:val="002C1BDC"/>
    <w:rsid w:val="002D5112"/>
    <w:rsid w:val="002E5D34"/>
    <w:rsid w:val="00312525"/>
    <w:rsid w:val="00313026"/>
    <w:rsid w:val="003158F1"/>
    <w:rsid w:val="00316163"/>
    <w:rsid w:val="00326197"/>
    <w:rsid w:val="00327FF3"/>
    <w:rsid w:val="00332005"/>
    <w:rsid w:val="00336B17"/>
    <w:rsid w:val="0038399E"/>
    <w:rsid w:val="00393F23"/>
    <w:rsid w:val="00395745"/>
    <w:rsid w:val="00397129"/>
    <w:rsid w:val="003A5217"/>
    <w:rsid w:val="003C11BC"/>
    <w:rsid w:val="003C17F3"/>
    <w:rsid w:val="003C496C"/>
    <w:rsid w:val="003D11A5"/>
    <w:rsid w:val="003D627C"/>
    <w:rsid w:val="003E4173"/>
    <w:rsid w:val="003F1D63"/>
    <w:rsid w:val="003F2D25"/>
    <w:rsid w:val="00404045"/>
    <w:rsid w:val="00412B8E"/>
    <w:rsid w:val="00440A13"/>
    <w:rsid w:val="00441BEB"/>
    <w:rsid w:val="00446276"/>
    <w:rsid w:val="00452BA3"/>
    <w:rsid w:val="004535DB"/>
    <w:rsid w:val="00453B24"/>
    <w:rsid w:val="00461A76"/>
    <w:rsid w:val="0046212C"/>
    <w:rsid w:val="004865BC"/>
    <w:rsid w:val="00486FE0"/>
    <w:rsid w:val="004938B8"/>
    <w:rsid w:val="004C23DA"/>
    <w:rsid w:val="004C28F9"/>
    <w:rsid w:val="004D3872"/>
    <w:rsid w:val="004D3AE4"/>
    <w:rsid w:val="004E2A7C"/>
    <w:rsid w:val="004F0A97"/>
    <w:rsid w:val="004F7D50"/>
    <w:rsid w:val="005029B2"/>
    <w:rsid w:val="005033D4"/>
    <w:rsid w:val="00504E16"/>
    <w:rsid w:val="00506A0F"/>
    <w:rsid w:val="005149C5"/>
    <w:rsid w:val="00526C1C"/>
    <w:rsid w:val="00531396"/>
    <w:rsid w:val="00540022"/>
    <w:rsid w:val="0054118F"/>
    <w:rsid w:val="005504D6"/>
    <w:rsid w:val="00553113"/>
    <w:rsid w:val="00580CB7"/>
    <w:rsid w:val="00581A83"/>
    <w:rsid w:val="0058762E"/>
    <w:rsid w:val="00587B74"/>
    <w:rsid w:val="005A2BAB"/>
    <w:rsid w:val="005C5C13"/>
    <w:rsid w:val="005D0F97"/>
    <w:rsid w:val="005F43E1"/>
    <w:rsid w:val="005F5656"/>
    <w:rsid w:val="0060451D"/>
    <w:rsid w:val="00606994"/>
    <w:rsid w:val="006117B2"/>
    <w:rsid w:val="00617899"/>
    <w:rsid w:val="006215E2"/>
    <w:rsid w:val="00625776"/>
    <w:rsid w:val="00625AE5"/>
    <w:rsid w:val="00645D6A"/>
    <w:rsid w:val="00652417"/>
    <w:rsid w:val="00657681"/>
    <w:rsid w:val="00684512"/>
    <w:rsid w:val="006943E7"/>
    <w:rsid w:val="00697A3F"/>
    <w:rsid w:val="006B3CB4"/>
    <w:rsid w:val="006C7A10"/>
    <w:rsid w:val="006D0174"/>
    <w:rsid w:val="006D36B8"/>
    <w:rsid w:val="006D6331"/>
    <w:rsid w:val="006D6A41"/>
    <w:rsid w:val="006F02A2"/>
    <w:rsid w:val="00713AE0"/>
    <w:rsid w:val="007215E0"/>
    <w:rsid w:val="00761CAD"/>
    <w:rsid w:val="00784A9B"/>
    <w:rsid w:val="00784F00"/>
    <w:rsid w:val="007B1C07"/>
    <w:rsid w:val="007D0337"/>
    <w:rsid w:val="007E30E3"/>
    <w:rsid w:val="007E481A"/>
    <w:rsid w:val="007E7C12"/>
    <w:rsid w:val="007F6E41"/>
    <w:rsid w:val="008232EC"/>
    <w:rsid w:val="0082747C"/>
    <w:rsid w:val="0083268C"/>
    <w:rsid w:val="00845495"/>
    <w:rsid w:val="00845E2C"/>
    <w:rsid w:val="00867E6E"/>
    <w:rsid w:val="0087349A"/>
    <w:rsid w:val="00876FD3"/>
    <w:rsid w:val="0088090F"/>
    <w:rsid w:val="008900D6"/>
    <w:rsid w:val="008A015C"/>
    <w:rsid w:val="008A48BE"/>
    <w:rsid w:val="008A5775"/>
    <w:rsid w:val="008D0663"/>
    <w:rsid w:val="008D2752"/>
    <w:rsid w:val="008E5A98"/>
    <w:rsid w:val="00903AF0"/>
    <w:rsid w:val="00914619"/>
    <w:rsid w:val="00915819"/>
    <w:rsid w:val="009432CB"/>
    <w:rsid w:val="00943810"/>
    <w:rsid w:val="00961603"/>
    <w:rsid w:val="00981D4C"/>
    <w:rsid w:val="009854F8"/>
    <w:rsid w:val="009865A3"/>
    <w:rsid w:val="009A07D7"/>
    <w:rsid w:val="009A556E"/>
    <w:rsid w:val="009B7A34"/>
    <w:rsid w:val="009C7278"/>
    <w:rsid w:val="009D4977"/>
    <w:rsid w:val="009F57E6"/>
    <w:rsid w:val="00A10DE5"/>
    <w:rsid w:val="00A11D34"/>
    <w:rsid w:val="00A25165"/>
    <w:rsid w:val="00A43665"/>
    <w:rsid w:val="00A47613"/>
    <w:rsid w:val="00A51CB9"/>
    <w:rsid w:val="00A81F33"/>
    <w:rsid w:val="00A846C7"/>
    <w:rsid w:val="00A850B4"/>
    <w:rsid w:val="00A85FB0"/>
    <w:rsid w:val="00A90226"/>
    <w:rsid w:val="00A941EC"/>
    <w:rsid w:val="00A9430D"/>
    <w:rsid w:val="00AD2B68"/>
    <w:rsid w:val="00AF2156"/>
    <w:rsid w:val="00B033FD"/>
    <w:rsid w:val="00B1731A"/>
    <w:rsid w:val="00B1735F"/>
    <w:rsid w:val="00B371FF"/>
    <w:rsid w:val="00B55173"/>
    <w:rsid w:val="00B67AFE"/>
    <w:rsid w:val="00B7452C"/>
    <w:rsid w:val="00B851DF"/>
    <w:rsid w:val="00B933A3"/>
    <w:rsid w:val="00B96FC5"/>
    <w:rsid w:val="00BD66EA"/>
    <w:rsid w:val="00BE2DCA"/>
    <w:rsid w:val="00C022DB"/>
    <w:rsid w:val="00C02602"/>
    <w:rsid w:val="00C074CB"/>
    <w:rsid w:val="00C1432C"/>
    <w:rsid w:val="00C21C84"/>
    <w:rsid w:val="00C224B3"/>
    <w:rsid w:val="00C237CE"/>
    <w:rsid w:val="00C56ECF"/>
    <w:rsid w:val="00C87FB0"/>
    <w:rsid w:val="00CB0F11"/>
    <w:rsid w:val="00CC03C7"/>
    <w:rsid w:val="00CC765E"/>
    <w:rsid w:val="00CD3261"/>
    <w:rsid w:val="00CE6DD3"/>
    <w:rsid w:val="00CE7B3B"/>
    <w:rsid w:val="00CF1385"/>
    <w:rsid w:val="00CF2A6A"/>
    <w:rsid w:val="00D018E6"/>
    <w:rsid w:val="00D03A9F"/>
    <w:rsid w:val="00D13F1C"/>
    <w:rsid w:val="00D16BAE"/>
    <w:rsid w:val="00D17074"/>
    <w:rsid w:val="00D32EFC"/>
    <w:rsid w:val="00D44A4F"/>
    <w:rsid w:val="00D5337F"/>
    <w:rsid w:val="00D535B6"/>
    <w:rsid w:val="00D60A09"/>
    <w:rsid w:val="00D6482E"/>
    <w:rsid w:val="00D708CD"/>
    <w:rsid w:val="00DA1A2F"/>
    <w:rsid w:val="00DB2DCC"/>
    <w:rsid w:val="00DC20B5"/>
    <w:rsid w:val="00DC72E4"/>
    <w:rsid w:val="00DD1DEC"/>
    <w:rsid w:val="00DE6152"/>
    <w:rsid w:val="00DF048A"/>
    <w:rsid w:val="00DF109E"/>
    <w:rsid w:val="00E160E4"/>
    <w:rsid w:val="00E22CC6"/>
    <w:rsid w:val="00E23743"/>
    <w:rsid w:val="00E35161"/>
    <w:rsid w:val="00E52309"/>
    <w:rsid w:val="00E5259C"/>
    <w:rsid w:val="00E54342"/>
    <w:rsid w:val="00E64EDC"/>
    <w:rsid w:val="00E76736"/>
    <w:rsid w:val="00E80E12"/>
    <w:rsid w:val="00E878D2"/>
    <w:rsid w:val="00E95E50"/>
    <w:rsid w:val="00EA453B"/>
    <w:rsid w:val="00EB1719"/>
    <w:rsid w:val="00EC0027"/>
    <w:rsid w:val="00EC2748"/>
    <w:rsid w:val="00ED6A4D"/>
    <w:rsid w:val="00EF4667"/>
    <w:rsid w:val="00F0295C"/>
    <w:rsid w:val="00F035D4"/>
    <w:rsid w:val="00F10F55"/>
    <w:rsid w:val="00F10F58"/>
    <w:rsid w:val="00F110AD"/>
    <w:rsid w:val="00F354E6"/>
    <w:rsid w:val="00F45620"/>
    <w:rsid w:val="00F45C59"/>
    <w:rsid w:val="00F61753"/>
    <w:rsid w:val="00F62F50"/>
    <w:rsid w:val="00F67B5F"/>
    <w:rsid w:val="00F7166F"/>
    <w:rsid w:val="00F84D9C"/>
    <w:rsid w:val="00F95998"/>
    <w:rsid w:val="00FA1380"/>
    <w:rsid w:val="00FA5EE9"/>
    <w:rsid w:val="00FC47CD"/>
    <w:rsid w:val="00FC75D5"/>
    <w:rsid w:val="00FD0B13"/>
    <w:rsid w:val="00FD6238"/>
    <w:rsid w:val="00FF739F"/>
    <w:rsid w:val="02122C2A"/>
    <w:rsid w:val="0314DCD4"/>
    <w:rsid w:val="03C2A73E"/>
    <w:rsid w:val="03D6CC7F"/>
    <w:rsid w:val="0596C126"/>
    <w:rsid w:val="07FADFD2"/>
    <w:rsid w:val="0C0602AA"/>
    <w:rsid w:val="0D672687"/>
    <w:rsid w:val="0D699188"/>
    <w:rsid w:val="10F204B2"/>
    <w:rsid w:val="192CF488"/>
    <w:rsid w:val="19A22FA8"/>
    <w:rsid w:val="1AF11051"/>
    <w:rsid w:val="25A54DD1"/>
    <w:rsid w:val="2A277BE4"/>
    <w:rsid w:val="2A2944F1"/>
    <w:rsid w:val="2B585370"/>
    <w:rsid w:val="2C152135"/>
    <w:rsid w:val="2C95C26A"/>
    <w:rsid w:val="2E0A423C"/>
    <w:rsid w:val="35D5A0AF"/>
    <w:rsid w:val="38925ADE"/>
    <w:rsid w:val="390D4171"/>
    <w:rsid w:val="3A6DCDD6"/>
    <w:rsid w:val="3A9E9496"/>
    <w:rsid w:val="3C00F60B"/>
    <w:rsid w:val="3C099E37"/>
    <w:rsid w:val="3C4049CE"/>
    <w:rsid w:val="3DA56E98"/>
    <w:rsid w:val="40B8A073"/>
    <w:rsid w:val="48E24814"/>
    <w:rsid w:val="493B3950"/>
    <w:rsid w:val="49484361"/>
    <w:rsid w:val="49D3DD5C"/>
    <w:rsid w:val="4D35A093"/>
    <w:rsid w:val="52C7B7CB"/>
    <w:rsid w:val="52E6725A"/>
    <w:rsid w:val="563F574E"/>
    <w:rsid w:val="57E17857"/>
    <w:rsid w:val="58E1C3A8"/>
    <w:rsid w:val="59453ECE"/>
    <w:rsid w:val="5970206F"/>
    <w:rsid w:val="59B81187"/>
    <w:rsid w:val="5AE10F2F"/>
    <w:rsid w:val="5C7CDF90"/>
    <w:rsid w:val="5D496778"/>
    <w:rsid w:val="5DDE036D"/>
    <w:rsid w:val="5F630951"/>
    <w:rsid w:val="647D82C9"/>
    <w:rsid w:val="67FA0CE5"/>
    <w:rsid w:val="69D7845D"/>
    <w:rsid w:val="6A27B7AF"/>
    <w:rsid w:val="6A816AC3"/>
    <w:rsid w:val="6AFF207F"/>
    <w:rsid w:val="6C08A858"/>
    <w:rsid w:val="6D9F5732"/>
    <w:rsid w:val="7041C38C"/>
    <w:rsid w:val="70884E12"/>
    <w:rsid w:val="78B378C0"/>
    <w:rsid w:val="7A4382E9"/>
    <w:rsid w:val="7CB31911"/>
    <w:rsid w:val="7FDCFA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5C8B3"/>
  <w15:chartTrackingRefBased/>
  <w15:docId w15:val="{06264CBB-9605-4CF3-8ECC-E39C6755E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37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D53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USTzmustartykuempunktem">
    <w:name w:val="Z/UST(§) – zm. ust. (§) artykułem (punktem)"/>
    <w:basedOn w:val="Normalny"/>
    <w:uiPriority w:val="30"/>
    <w:qFormat/>
    <w:rsid w:val="0088090F"/>
    <w:pPr>
      <w:suppressAutoHyphens/>
      <w:autoSpaceDE w:val="0"/>
      <w:autoSpaceDN w:val="0"/>
      <w:adjustRightInd w:val="0"/>
      <w:spacing w:after="0" w:line="360" w:lineRule="auto"/>
      <w:ind w:left="510" w:firstLine="510"/>
      <w:jc w:val="both"/>
    </w:pPr>
    <w:rPr>
      <w:rFonts w:ascii="Times" w:eastAsiaTheme="minorEastAsia" w:hAnsi="Times" w:cs="Arial"/>
      <w:sz w:val="24"/>
      <w:szCs w:val="20"/>
      <w:lang w:eastAsia="pl-PL"/>
    </w:rPr>
  </w:style>
  <w:style w:type="paragraph" w:styleId="Akapitzlist">
    <w:name w:val="List Paragraph"/>
    <w:basedOn w:val="Normalny"/>
    <w:uiPriority w:val="72"/>
    <w:qFormat/>
    <w:rsid w:val="006117B2"/>
    <w:pPr>
      <w:spacing w:after="0" w:line="240" w:lineRule="auto"/>
      <w:ind w:left="720"/>
    </w:pPr>
    <w:rPr>
      <w:rFonts w:ascii="Calibri" w:hAnsi="Calibri" w:cs="Calibri"/>
    </w:rPr>
  </w:style>
  <w:style w:type="paragraph" w:styleId="Tekstpodstawowy2">
    <w:name w:val="Body Text 2"/>
    <w:basedOn w:val="Normalny"/>
    <w:link w:val="Tekstpodstawowy2Znak"/>
    <w:semiHidden/>
    <w:rsid w:val="008A48BE"/>
    <w:pPr>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semiHidden/>
    <w:rsid w:val="008A48BE"/>
    <w:rPr>
      <w:rFonts w:ascii="Times New Roman" w:eastAsia="Times New Roman" w:hAnsi="Times New Roman" w:cs="Times New Roman"/>
      <w:sz w:val="26"/>
      <w:szCs w:val="20"/>
      <w:lang w:eastAsia="pl-PL"/>
    </w:rPr>
  </w:style>
  <w:style w:type="paragraph" w:styleId="Tekstdymka">
    <w:name w:val="Balloon Text"/>
    <w:basedOn w:val="Normalny"/>
    <w:link w:val="TekstdymkaZnak"/>
    <w:uiPriority w:val="99"/>
    <w:semiHidden/>
    <w:unhideWhenUsed/>
    <w:rsid w:val="00F110A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10AD"/>
    <w:rPr>
      <w:rFonts w:ascii="Segoe UI" w:hAnsi="Segoe UI" w:cs="Segoe UI"/>
      <w:sz w:val="18"/>
      <w:szCs w:val="18"/>
    </w:rPr>
  </w:style>
  <w:style w:type="character" w:styleId="Odwoaniedokomentarza">
    <w:name w:val="annotation reference"/>
    <w:basedOn w:val="Domylnaczcionkaakapitu"/>
    <w:uiPriority w:val="99"/>
    <w:semiHidden/>
    <w:unhideWhenUsed/>
    <w:rsid w:val="00B1731A"/>
    <w:rPr>
      <w:sz w:val="16"/>
      <w:szCs w:val="16"/>
    </w:rPr>
  </w:style>
  <w:style w:type="paragraph" w:styleId="Tekstkomentarza">
    <w:name w:val="annotation text"/>
    <w:basedOn w:val="Normalny"/>
    <w:link w:val="TekstkomentarzaZnak"/>
    <w:uiPriority w:val="99"/>
    <w:semiHidden/>
    <w:unhideWhenUsed/>
    <w:rsid w:val="00B1731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1731A"/>
    <w:rPr>
      <w:sz w:val="20"/>
      <w:szCs w:val="20"/>
    </w:rPr>
  </w:style>
  <w:style w:type="paragraph" w:styleId="Tematkomentarza">
    <w:name w:val="annotation subject"/>
    <w:basedOn w:val="Tekstkomentarza"/>
    <w:next w:val="Tekstkomentarza"/>
    <w:link w:val="TematkomentarzaZnak"/>
    <w:uiPriority w:val="99"/>
    <w:semiHidden/>
    <w:unhideWhenUsed/>
    <w:rsid w:val="002A5E8B"/>
    <w:rPr>
      <w:b/>
      <w:bCs/>
    </w:rPr>
  </w:style>
  <w:style w:type="character" w:customStyle="1" w:styleId="TematkomentarzaZnak">
    <w:name w:val="Temat komentarza Znak"/>
    <w:basedOn w:val="TekstkomentarzaZnak"/>
    <w:link w:val="Tematkomentarza"/>
    <w:uiPriority w:val="99"/>
    <w:semiHidden/>
    <w:rsid w:val="002A5E8B"/>
    <w:rPr>
      <w:b/>
      <w:bCs/>
      <w:sz w:val="20"/>
      <w:szCs w:val="20"/>
    </w:rPr>
  </w:style>
  <w:style w:type="paragraph" w:customStyle="1" w:styleId="doc-ti">
    <w:name w:val="doc-ti"/>
    <w:basedOn w:val="Normalny"/>
    <w:rsid w:val="00F45C5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przypisukocowego">
    <w:name w:val="endnote reference"/>
    <w:basedOn w:val="Domylnaczcionkaakapitu"/>
    <w:uiPriority w:val="99"/>
    <w:semiHidden/>
    <w:unhideWhenUsed/>
    <w:rsid w:val="00F45C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997849">
      <w:bodyDiv w:val="1"/>
      <w:marLeft w:val="0"/>
      <w:marRight w:val="0"/>
      <w:marTop w:val="0"/>
      <w:marBottom w:val="0"/>
      <w:divBdr>
        <w:top w:val="none" w:sz="0" w:space="0" w:color="auto"/>
        <w:left w:val="none" w:sz="0" w:space="0" w:color="auto"/>
        <w:bottom w:val="none" w:sz="0" w:space="0" w:color="auto"/>
        <w:right w:val="none" w:sz="0" w:space="0" w:color="auto"/>
      </w:divBdr>
    </w:div>
    <w:div w:id="903636920">
      <w:bodyDiv w:val="1"/>
      <w:marLeft w:val="0"/>
      <w:marRight w:val="0"/>
      <w:marTop w:val="0"/>
      <w:marBottom w:val="0"/>
      <w:divBdr>
        <w:top w:val="none" w:sz="0" w:space="0" w:color="auto"/>
        <w:left w:val="none" w:sz="0" w:space="0" w:color="auto"/>
        <w:bottom w:val="none" w:sz="0" w:space="0" w:color="auto"/>
        <w:right w:val="none" w:sz="0" w:space="0" w:color="auto"/>
      </w:divBdr>
    </w:div>
    <w:div w:id="1012760089">
      <w:bodyDiv w:val="1"/>
      <w:marLeft w:val="0"/>
      <w:marRight w:val="0"/>
      <w:marTop w:val="0"/>
      <w:marBottom w:val="0"/>
      <w:divBdr>
        <w:top w:val="none" w:sz="0" w:space="0" w:color="auto"/>
        <w:left w:val="none" w:sz="0" w:space="0" w:color="auto"/>
        <w:bottom w:val="none" w:sz="0" w:space="0" w:color="auto"/>
        <w:right w:val="none" w:sz="0" w:space="0" w:color="auto"/>
      </w:divBdr>
    </w:div>
    <w:div w:id="1138957557">
      <w:bodyDiv w:val="1"/>
      <w:marLeft w:val="0"/>
      <w:marRight w:val="0"/>
      <w:marTop w:val="0"/>
      <w:marBottom w:val="0"/>
      <w:divBdr>
        <w:top w:val="none" w:sz="0" w:space="0" w:color="auto"/>
        <w:left w:val="none" w:sz="0" w:space="0" w:color="auto"/>
        <w:bottom w:val="none" w:sz="0" w:space="0" w:color="auto"/>
        <w:right w:val="none" w:sz="0" w:space="0" w:color="auto"/>
      </w:divBdr>
    </w:div>
    <w:div w:id="1288707083">
      <w:bodyDiv w:val="1"/>
      <w:marLeft w:val="0"/>
      <w:marRight w:val="0"/>
      <w:marTop w:val="0"/>
      <w:marBottom w:val="0"/>
      <w:divBdr>
        <w:top w:val="none" w:sz="0" w:space="0" w:color="auto"/>
        <w:left w:val="none" w:sz="0" w:space="0" w:color="auto"/>
        <w:bottom w:val="none" w:sz="0" w:space="0" w:color="auto"/>
        <w:right w:val="none" w:sz="0" w:space="0" w:color="auto"/>
      </w:divBdr>
    </w:div>
    <w:div w:id="1426339324">
      <w:bodyDiv w:val="1"/>
      <w:marLeft w:val="0"/>
      <w:marRight w:val="0"/>
      <w:marTop w:val="0"/>
      <w:marBottom w:val="0"/>
      <w:divBdr>
        <w:top w:val="none" w:sz="0" w:space="0" w:color="auto"/>
        <w:left w:val="none" w:sz="0" w:space="0" w:color="auto"/>
        <w:bottom w:val="none" w:sz="0" w:space="0" w:color="auto"/>
        <w:right w:val="none" w:sz="0" w:space="0" w:color="auto"/>
      </w:divBdr>
    </w:div>
    <w:div w:id="1678187890">
      <w:bodyDiv w:val="1"/>
      <w:marLeft w:val="0"/>
      <w:marRight w:val="0"/>
      <w:marTop w:val="0"/>
      <w:marBottom w:val="0"/>
      <w:divBdr>
        <w:top w:val="none" w:sz="0" w:space="0" w:color="auto"/>
        <w:left w:val="none" w:sz="0" w:space="0" w:color="auto"/>
        <w:bottom w:val="none" w:sz="0" w:space="0" w:color="auto"/>
        <w:right w:val="none" w:sz="0" w:space="0" w:color="auto"/>
      </w:divBdr>
    </w:div>
    <w:div w:id="1806777548">
      <w:bodyDiv w:val="1"/>
      <w:marLeft w:val="0"/>
      <w:marRight w:val="0"/>
      <w:marTop w:val="0"/>
      <w:marBottom w:val="0"/>
      <w:divBdr>
        <w:top w:val="none" w:sz="0" w:space="0" w:color="auto"/>
        <w:left w:val="none" w:sz="0" w:space="0" w:color="auto"/>
        <w:bottom w:val="none" w:sz="0" w:space="0" w:color="auto"/>
        <w:right w:val="none" w:sz="0" w:space="0" w:color="auto"/>
      </w:divBdr>
    </w:div>
    <w:div w:id="1872496507">
      <w:bodyDiv w:val="1"/>
      <w:marLeft w:val="0"/>
      <w:marRight w:val="0"/>
      <w:marTop w:val="0"/>
      <w:marBottom w:val="0"/>
      <w:divBdr>
        <w:top w:val="none" w:sz="0" w:space="0" w:color="auto"/>
        <w:left w:val="none" w:sz="0" w:space="0" w:color="auto"/>
        <w:bottom w:val="none" w:sz="0" w:space="0" w:color="auto"/>
        <w:right w:val="none" w:sz="0" w:space="0" w:color="auto"/>
      </w:divBdr>
    </w:div>
    <w:div w:id="1873303120">
      <w:bodyDiv w:val="1"/>
      <w:marLeft w:val="0"/>
      <w:marRight w:val="0"/>
      <w:marTop w:val="0"/>
      <w:marBottom w:val="0"/>
      <w:divBdr>
        <w:top w:val="none" w:sz="0" w:space="0" w:color="auto"/>
        <w:left w:val="none" w:sz="0" w:space="0" w:color="auto"/>
        <w:bottom w:val="none" w:sz="0" w:space="0" w:color="auto"/>
        <w:right w:val="none" w:sz="0" w:space="0" w:color="auto"/>
      </w:divBdr>
    </w:div>
    <w:div w:id="1910536434">
      <w:bodyDiv w:val="1"/>
      <w:marLeft w:val="0"/>
      <w:marRight w:val="0"/>
      <w:marTop w:val="0"/>
      <w:marBottom w:val="0"/>
      <w:divBdr>
        <w:top w:val="none" w:sz="0" w:space="0" w:color="auto"/>
        <w:left w:val="none" w:sz="0" w:space="0" w:color="auto"/>
        <w:bottom w:val="none" w:sz="0" w:space="0" w:color="auto"/>
        <w:right w:val="none" w:sz="0" w:space="0" w:color="auto"/>
      </w:divBdr>
    </w:div>
    <w:div w:id="1994094969">
      <w:bodyDiv w:val="1"/>
      <w:marLeft w:val="0"/>
      <w:marRight w:val="0"/>
      <w:marTop w:val="0"/>
      <w:marBottom w:val="0"/>
      <w:divBdr>
        <w:top w:val="none" w:sz="0" w:space="0" w:color="auto"/>
        <w:left w:val="none" w:sz="0" w:space="0" w:color="auto"/>
        <w:bottom w:val="none" w:sz="0" w:space="0" w:color="auto"/>
        <w:right w:val="none" w:sz="0" w:space="0" w:color="auto"/>
      </w:divBdr>
    </w:div>
    <w:div w:id="2030376979">
      <w:bodyDiv w:val="1"/>
      <w:marLeft w:val="0"/>
      <w:marRight w:val="0"/>
      <w:marTop w:val="0"/>
      <w:marBottom w:val="0"/>
      <w:divBdr>
        <w:top w:val="none" w:sz="0" w:space="0" w:color="auto"/>
        <w:left w:val="none" w:sz="0" w:space="0" w:color="auto"/>
        <w:bottom w:val="none" w:sz="0" w:space="0" w:color="auto"/>
        <w:right w:val="none" w:sz="0" w:space="0" w:color="auto"/>
      </w:divBdr>
    </w:div>
    <w:div w:id="2036496648">
      <w:bodyDiv w:val="1"/>
      <w:marLeft w:val="0"/>
      <w:marRight w:val="0"/>
      <w:marTop w:val="0"/>
      <w:marBottom w:val="0"/>
      <w:divBdr>
        <w:top w:val="none" w:sz="0" w:space="0" w:color="auto"/>
        <w:left w:val="none" w:sz="0" w:space="0" w:color="auto"/>
        <w:bottom w:val="none" w:sz="0" w:space="0" w:color="auto"/>
        <w:right w:val="none" w:sz="0" w:space="0" w:color="auto"/>
      </w:divBdr>
    </w:div>
    <w:div w:id="205838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DE0F7D76D2AAF49A16A5FAB5B2FEA62" ma:contentTypeVersion="4" ma:contentTypeDescription="Utwórz nowy dokument." ma:contentTypeScope="" ma:versionID="2f81b85ba0382f8c775985157b52d4bf">
  <xsd:schema xmlns:xsd="http://www.w3.org/2001/XMLSchema" xmlns:xs="http://www.w3.org/2001/XMLSchema" xmlns:p="http://schemas.microsoft.com/office/2006/metadata/properties" xmlns:ns2="4a8685ed-54a0-4e99-b38d-30033c70d9c6" targetNamespace="http://schemas.microsoft.com/office/2006/metadata/properties" ma:root="true" ma:fieldsID="392a7a38f479a5a862391f2e40487b42" ns2:_="">
    <xsd:import namespace="4a8685ed-54a0-4e99-b38d-30033c70d9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685ed-54a0-4e99-b38d-30033c70d9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8E2F96-B0CD-4ABE-94A5-9F0B394B0EFB}">
  <ds:schemaRefs>
    <ds:schemaRef ds:uri="http://schemas.microsoft.com/sharepoint/v3/contenttype/forms"/>
  </ds:schemaRefs>
</ds:datastoreItem>
</file>

<file path=customXml/itemProps2.xml><?xml version="1.0" encoding="utf-8"?>
<ds:datastoreItem xmlns:ds="http://schemas.openxmlformats.org/officeDocument/2006/customXml" ds:itemID="{7D09B76A-9F0E-4327-B89B-2D1FA04DBDEC}">
  <ds:schemaRefs>
    <ds:schemaRef ds:uri="http://schemas.openxmlformats.org/officeDocument/2006/bibliography"/>
  </ds:schemaRefs>
</ds:datastoreItem>
</file>

<file path=customXml/itemProps3.xml><?xml version="1.0" encoding="utf-8"?>
<ds:datastoreItem xmlns:ds="http://schemas.openxmlformats.org/officeDocument/2006/customXml" ds:itemID="{5EEDA0E7-65DD-42E1-A819-C0A4C44BE2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53A6D8-8FBA-499C-822D-CDD4ADE30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8685ed-54a0-4e99-b38d-30033c70d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4171</Words>
  <Characters>25032</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Ministerstwo Cyfryzacji</Company>
  <LinksUpToDate>false</LinksUpToDate>
  <CharactersWithSpaces>29145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Skwarek Wiktor</dc:creator>
  <cp:keywords/>
  <dc:description/>
  <cp:lastModifiedBy>Piekart Andrzej</cp:lastModifiedBy>
  <cp:revision>16</cp:revision>
  <dcterms:created xsi:type="dcterms:W3CDTF">2026-02-17T09:38:00Z</dcterms:created>
  <dcterms:modified xsi:type="dcterms:W3CDTF">2026-05-27T14:16:00Z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875bd0a9bd87f448d86d39a121d18c795513692c15c58252036aab3d4ec11c18</vt:lpwstr>
  </property>
  <property fmtid="{D5CDD505-2E9C-101B-9397-08002B2CF9AE}" pid="3" name="ContentTypeId">
    <vt:lpwstr>0x0101005DE0F7D76D2AAF49A16A5FAB5B2FEA62</vt:lpwstr>
  </property>
</Properties>
</file>